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363" w:rsidRPr="00295363" w:rsidRDefault="00295363" w:rsidP="00295363">
      <w:pPr>
        <w:pStyle w:val="Default"/>
        <w:spacing w:after="240" w:line="400" w:lineRule="exact"/>
        <w:jc w:val="center"/>
        <w:rPr>
          <w:rFonts w:ascii="Palatino Linotype" w:hAnsi="Palatino Linotype"/>
          <w:b/>
          <w:bCs/>
          <w:color w:val="auto"/>
          <w:sz w:val="32"/>
          <w:szCs w:val="32"/>
        </w:rPr>
      </w:pPr>
      <w:r w:rsidRPr="00295363">
        <w:rPr>
          <w:rFonts w:ascii="Palatino Linotype" w:hAnsi="Palatino Linotype"/>
          <w:b/>
          <w:bCs/>
          <w:color w:val="auto"/>
          <w:sz w:val="32"/>
          <w:szCs w:val="32"/>
        </w:rPr>
        <w:t xml:space="preserve">Analisis Potensi Ancaman Bahaya </w:t>
      </w:r>
      <w:r>
        <w:rPr>
          <w:rFonts w:ascii="Palatino Linotype" w:hAnsi="Palatino Linotype"/>
          <w:b/>
          <w:bCs/>
          <w:color w:val="auto"/>
          <w:sz w:val="32"/>
          <w:szCs w:val="32"/>
        </w:rPr>
        <w:t>Gempabumi Berdasarkan Parameter Fisis Batuan u</w:t>
      </w:r>
      <w:r w:rsidRPr="00295363">
        <w:rPr>
          <w:rFonts w:ascii="Palatino Linotype" w:hAnsi="Palatino Linotype"/>
          <w:b/>
          <w:bCs/>
          <w:color w:val="auto"/>
          <w:sz w:val="32"/>
          <w:szCs w:val="32"/>
        </w:rPr>
        <w:t>ntuk Mendukung Mitigasi Bencana Di Kota Bengkulu</w:t>
      </w:r>
      <w:r w:rsidR="00747906">
        <w:rPr>
          <w:rFonts w:ascii="Palatino Linotype" w:hAnsi="Palatino Linotype"/>
          <w:b/>
          <w:bCs/>
          <w:color w:val="auto"/>
          <w:sz w:val="32"/>
          <w:szCs w:val="32"/>
        </w:rPr>
        <w:t>, Provinsi Bengkulu</w:t>
      </w:r>
    </w:p>
    <w:p w:rsidR="00BD52B9" w:rsidRPr="006E1819" w:rsidRDefault="00295363" w:rsidP="00961205">
      <w:pPr>
        <w:pStyle w:val="Fluxpenulis"/>
        <w:rPr>
          <w:lang w:val="en-US"/>
        </w:rPr>
      </w:pPr>
      <w:r>
        <w:rPr>
          <w:b/>
          <w:lang w:val="en-US"/>
        </w:rPr>
        <w:t>Arif Ismul Hadi</w:t>
      </w:r>
      <w:r w:rsidRPr="006E1819">
        <w:rPr>
          <w:b/>
          <w:vertAlign w:val="superscript"/>
        </w:rPr>
        <w:t>1</w:t>
      </w:r>
      <w:r w:rsidRPr="006E1819">
        <w:rPr>
          <w:b/>
          <w:vertAlign w:val="superscript"/>
          <w:lang w:val="en-US"/>
        </w:rPr>
        <w:t>,</w:t>
      </w:r>
      <w:r w:rsidRPr="006E1819">
        <w:rPr>
          <w:b/>
          <w:vertAlign w:val="superscript"/>
        </w:rPr>
        <w:t>*</w:t>
      </w:r>
      <w:r w:rsidR="002E1B87" w:rsidRPr="006E1819">
        <w:rPr>
          <w:b/>
          <w:vertAlign w:val="superscript"/>
          <w:lang w:val="en-US"/>
        </w:rPr>
        <w:t>)</w:t>
      </w:r>
      <w:r w:rsidR="00BD52B9" w:rsidRPr="006E1819">
        <w:rPr>
          <w:b/>
        </w:rPr>
        <w:t xml:space="preserve">, </w:t>
      </w:r>
      <w:r>
        <w:rPr>
          <w:b/>
          <w:lang w:val="en-US"/>
        </w:rPr>
        <w:t>M. Farid</w:t>
      </w:r>
      <w:r w:rsidRPr="006E1819">
        <w:rPr>
          <w:b/>
          <w:vertAlign w:val="superscript"/>
        </w:rPr>
        <w:t>1</w:t>
      </w:r>
      <w:r w:rsidR="00DE56B2">
        <w:rPr>
          <w:b/>
          <w:vertAlign w:val="superscript"/>
          <w:lang w:val="en-US"/>
        </w:rPr>
        <w:t>)</w:t>
      </w:r>
      <w:r>
        <w:rPr>
          <w:b/>
          <w:lang w:val="en-US"/>
        </w:rPr>
        <w:t>, Refrizon</w:t>
      </w:r>
      <w:r w:rsidRPr="006E1819">
        <w:rPr>
          <w:b/>
          <w:vertAlign w:val="superscript"/>
        </w:rPr>
        <w:t>1</w:t>
      </w:r>
      <w:r w:rsidR="00DE56B2">
        <w:rPr>
          <w:b/>
          <w:vertAlign w:val="superscript"/>
          <w:lang w:val="en-US"/>
        </w:rPr>
        <w:t>)</w:t>
      </w:r>
      <w:r>
        <w:rPr>
          <w:b/>
          <w:lang w:val="en-US"/>
        </w:rPr>
        <w:t>, Budi Harlianto</w:t>
      </w:r>
      <w:r w:rsidRPr="006E1819">
        <w:rPr>
          <w:b/>
          <w:vertAlign w:val="superscript"/>
        </w:rPr>
        <w:t>1</w:t>
      </w:r>
      <w:r w:rsidR="00DE56B2">
        <w:rPr>
          <w:b/>
          <w:vertAlign w:val="superscript"/>
          <w:lang w:val="en-US"/>
        </w:rPr>
        <w:t>)</w:t>
      </w:r>
      <w:r w:rsidR="0070167C">
        <w:rPr>
          <w:b/>
          <w:lang w:val="en-US"/>
        </w:rPr>
        <w:t xml:space="preserve">, </w:t>
      </w:r>
      <w:r>
        <w:rPr>
          <w:b/>
          <w:lang w:val="en-US"/>
        </w:rPr>
        <w:t>Nurul Hudayat</w:t>
      </w:r>
      <w:r>
        <w:rPr>
          <w:b/>
          <w:vertAlign w:val="superscript"/>
        </w:rPr>
        <w:t>2</w:t>
      </w:r>
      <w:r w:rsidR="00DE56B2">
        <w:rPr>
          <w:b/>
          <w:vertAlign w:val="superscript"/>
          <w:lang w:val="en-US"/>
        </w:rPr>
        <w:t>)</w:t>
      </w:r>
      <w:r>
        <w:rPr>
          <w:b/>
          <w:lang w:val="en-US"/>
        </w:rPr>
        <w:t>, Malik Krisbudianto</w:t>
      </w:r>
      <w:r w:rsidR="00DE56B2">
        <w:rPr>
          <w:b/>
          <w:vertAlign w:val="superscript"/>
        </w:rPr>
        <w:t>2</w:t>
      </w:r>
      <w:r w:rsidR="00DE56B2">
        <w:rPr>
          <w:b/>
          <w:vertAlign w:val="superscript"/>
          <w:lang w:val="en-US"/>
        </w:rPr>
        <w:t>)</w:t>
      </w:r>
      <w:r w:rsidR="00F06A69" w:rsidRPr="006E1819">
        <w:t xml:space="preserve"> </w:t>
      </w:r>
    </w:p>
    <w:p w:rsidR="00BD52B9" w:rsidRPr="00961205" w:rsidRDefault="00BD52B9" w:rsidP="00961205">
      <w:pPr>
        <w:pStyle w:val="Fluxafiliasi"/>
        <w:rPr>
          <w:lang w:val="en-US"/>
        </w:rPr>
      </w:pPr>
      <w:r w:rsidRPr="006E1819">
        <w:rPr>
          <w:vertAlign w:val="superscript"/>
        </w:rPr>
        <w:t>1)</w:t>
      </w:r>
      <w:r w:rsidRPr="006E1819">
        <w:t xml:space="preserve"> </w:t>
      </w:r>
      <w:r w:rsidR="006332D7">
        <w:rPr>
          <w:lang w:val="en-US"/>
        </w:rPr>
        <w:t>Program Studi Geofisika, Jurusan Fisika, FMIPA, Universitas Bengkulu</w:t>
      </w:r>
    </w:p>
    <w:p w:rsidR="00BD52B9" w:rsidRPr="006332D7" w:rsidRDefault="00BD52B9" w:rsidP="00961205">
      <w:pPr>
        <w:pStyle w:val="Fluxafiliasi"/>
        <w:rPr>
          <w:lang w:val="en-US"/>
        </w:rPr>
      </w:pPr>
      <w:r w:rsidRPr="006E1819">
        <w:rPr>
          <w:vertAlign w:val="superscript"/>
        </w:rPr>
        <w:t>2)</w:t>
      </w:r>
      <w:r w:rsidRPr="006E1819">
        <w:t xml:space="preserve"> </w:t>
      </w:r>
      <w:r w:rsidR="006332D7">
        <w:rPr>
          <w:lang w:val="en-US"/>
        </w:rPr>
        <w:t>Badan Meteorologi, Klimatologi, dan Geofisika (BMKG) Kepahiang, Prov. Bengkulu</w:t>
      </w:r>
    </w:p>
    <w:p w:rsidR="0016208B" w:rsidRPr="006E1819" w:rsidRDefault="0016208B" w:rsidP="006E1819">
      <w:pPr>
        <w:tabs>
          <w:tab w:val="left" w:pos="567"/>
        </w:tabs>
        <w:rPr>
          <w:rFonts w:ascii="Palatino Linotype" w:hAnsi="Palatino Linotype"/>
          <w:sz w:val="22"/>
          <w:szCs w:val="22"/>
          <w:lang w:val="en-US"/>
        </w:rPr>
      </w:pPr>
    </w:p>
    <w:p w:rsidR="00BD52B9" w:rsidRPr="00961205" w:rsidRDefault="00F06A69" w:rsidP="00961205">
      <w:pPr>
        <w:pStyle w:val="Fluxemailkoresponden"/>
        <w:rPr>
          <w:lang w:val="en-US"/>
        </w:rPr>
      </w:pPr>
      <w:r w:rsidRPr="006E1819">
        <w:t>E</w:t>
      </w:r>
      <w:r w:rsidR="00BD52B9" w:rsidRPr="006E1819">
        <w:t>mail</w:t>
      </w:r>
      <w:r w:rsidRPr="006E1819">
        <w:rPr>
          <w:lang w:val="en-US"/>
        </w:rPr>
        <w:t xml:space="preserve"> korespodensi</w:t>
      </w:r>
      <w:r w:rsidR="00BD52B9" w:rsidRPr="006E1819">
        <w:t xml:space="preserve"> : </w:t>
      </w:r>
      <w:r w:rsidR="0070167C">
        <w:rPr>
          <w:lang w:val="en-US"/>
        </w:rPr>
        <w:t>ismulhadi@unib.ac.id</w:t>
      </w:r>
    </w:p>
    <w:p w:rsidR="005B5472" w:rsidRPr="006E1819" w:rsidRDefault="005B5472" w:rsidP="006E1819">
      <w:pPr>
        <w:tabs>
          <w:tab w:val="left" w:pos="567"/>
        </w:tabs>
        <w:rPr>
          <w:rFonts w:ascii="Palatino Linotype" w:hAnsi="Palatino Linotype"/>
          <w:sz w:val="22"/>
          <w:szCs w:val="22"/>
        </w:rPr>
      </w:pPr>
    </w:p>
    <w:p w:rsidR="00D95618" w:rsidRPr="006E1819" w:rsidRDefault="00D95618" w:rsidP="006E1819">
      <w:pPr>
        <w:tabs>
          <w:tab w:val="left" w:pos="567"/>
        </w:tabs>
        <w:jc w:val="center"/>
        <w:rPr>
          <w:rFonts w:ascii="Palatino Linotype" w:hAnsi="Palatino Linotype"/>
          <w:sz w:val="22"/>
          <w:szCs w:val="22"/>
          <w:lang w:val="en-US"/>
        </w:rPr>
      </w:pPr>
      <w:r w:rsidRPr="006E1819">
        <w:rPr>
          <w:rFonts w:ascii="Palatino Linotype" w:hAnsi="Palatino Linotype"/>
          <w:sz w:val="22"/>
          <w:szCs w:val="22"/>
          <w:lang w:val="en-US"/>
        </w:rPr>
        <w:t xml:space="preserve">DOI: </w:t>
      </w:r>
      <w:r w:rsidR="00932521">
        <w:rPr>
          <w:rFonts w:ascii="Palatino Linotype" w:hAnsi="Palatino Linotype"/>
          <w:sz w:val="22"/>
          <w:szCs w:val="22"/>
          <w:lang w:val="en-US"/>
        </w:rPr>
        <w:t>https://doi.org/</w:t>
      </w:r>
      <w:r w:rsidRPr="006E1819">
        <w:rPr>
          <w:rFonts w:ascii="Palatino Linotype" w:hAnsi="Palatino Linotype"/>
          <w:sz w:val="22"/>
          <w:szCs w:val="22"/>
          <w:lang w:val="en-US"/>
        </w:rPr>
        <w:t>...........</w:t>
      </w:r>
    </w:p>
    <w:p w:rsidR="005B5472" w:rsidRPr="006E1819" w:rsidRDefault="005B5472" w:rsidP="006E1819">
      <w:pPr>
        <w:tabs>
          <w:tab w:val="left" w:pos="567"/>
        </w:tabs>
        <w:jc w:val="center"/>
        <w:rPr>
          <w:rFonts w:ascii="Palatino Linotype" w:hAnsi="Palatino Linotype"/>
          <w:color w:val="FF0000"/>
          <w:sz w:val="22"/>
          <w:szCs w:val="22"/>
          <w:lang w:val="en-US"/>
        </w:rPr>
      </w:pPr>
      <w:r w:rsidRPr="006E1819">
        <w:rPr>
          <w:rFonts w:ascii="Palatino Linotype" w:hAnsi="Palatino Linotype"/>
          <w:i/>
          <w:color w:val="FF0000"/>
          <w:sz w:val="22"/>
          <w:szCs w:val="22"/>
          <w:lang w:val="en-US"/>
        </w:rPr>
        <w:t>Submit</w:t>
      </w:r>
      <w:r w:rsidR="0042308B">
        <w:rPr>
          <w:rFonts w:ascii="Palatino Linotype" w:hAnsi="Palatino Linotype"/>
          <w:i/>
          <w:color w:val="FF0000"/>
          <w:sz w:val="22"/>
          <w:szCs w:val="22"/>
          <w:lang w:val="en-US"/>
        </w:rPr>
        <w:t>t</w:t>
      </w:r>
      <w:r w:rsidR="00C00D72" w:rsidRPr="006E1819">
        <w:rPr>
          <w:rFonts w:ascii="Palatino Linotype" w:hAnsi="Palatino Linotype"/>
          <w:i/>
          <w:color w:val="FF0000"/>
          <w:sz w:val="22"/>
          <w:szCs w:val="22"/>
          <w:lang w:val="en-US"/>
        </w:rPr>
        <w:t>ed</w:t>
      </w:r>
      <w:r w:rsidRPr="006E1819">
        <w:rPr>
          <w:rFonts w:ascii="Palatino Linotype" w:hAnsi="Palatino Linotype"/>
          <w:color w:val="FF0000"/>
          <w:sz w:val="22"/>
          <w:szCs w:val="22"/>
          <w:lang w:val="en-US"/>
        </w:rPr>
        <w:t>:</w:t>
      </w:r>
      <w:r w:rsidR="00C00D72" w:rsidRPr="006E1819">
        <w:rPr>
          <w:rFonts w:ascii="Palatino Linotype" w:hAnsi="Palatino Linotype"/>
          <w:color w:val="FF0000"/>
          <w:sz w:val="22"/>
          <w:szCs w:val="22"/>
          <w:lang w:val="en-US"/>
        </w:rPr>
        <w:t xml:space="preserve"> 05 April 2018; </w:t>
      </w:r>
      <w:r w:rsidR="00C00D72" w:rsidRPr="006E1819">
        <w:rPr>
          <w:rFonts w:ascii="Palatino Linotype" w:hAnsi="Palatino Linotype"/>
          <w:i/>
          <w:color w:val="FF0000"/>
          <w:sz w:val="22"/>
          <w:szCs w:val="22"/>
          <w:lang w:val="en-US"/>
        </w:rPr>
        <w:t>Accepted</w:t>
      </w:r>
      <w:r w:rsidR="00C00D72" w:rsidRPr="006E1819">
        <w:rPr>
          <w:rFonts w:ascii="Palatino Linotype" w:hAnsi="Palatino Linotype"/>
          <w:color w:val="FF0000"/>
          <w:sz w:val="22"/>
          <w:szCs w:val="22"/>
          <w:lang w:val="en-US"/>
        </w:rPr>
        <w:t>: 10 Juni 2019</w:t>
      </w:r>
    </w:p>
    <w:p w:rsidR="00F06A69" w:rsidRPr="006E1819" w:rsidRDefault="00F06A69" w:rsidP="006E1819">
      <w:pPr>
        <w:tabs>
          <w:tab w:val="left" w:pos="567"/>
        </w:tabs>
        <w:rPr>
          <w:rFonts w:ascii="Palatino Linotype" w:hAnsi="Palatino Linotype"/>
          <w:sz w:val="22"/>
          <w:szCs w:val="22"/>
          <w:lang w:val="en-US"/>
        </w:rPr>
      </w:pPr>
    </w:p>
    <w:p w:rsidR="00467F4C" w:rsidRPr="00467F4C" w:rsidRDefault="0042308B" w:rsidP="00F77D5E">
      <w:pPr>
        <w:pStyle w:val="FluxAbstrak"/>
        <w:rPr>
          <w:bCs w:val="0"/>
          <w:szCs w:val="20"/>
          <w:lang w:val="sv-SE"/>
        </w:rPr>
      </w:pPr>
      <w:r>
        <w:rPr>
          <w:b/>
          <w:sz w:val="22"/>
          <w:lang w:val="en-US"/>
        </w:rPr>
        <w:t xml:space="preserve">ABSTRAK- </w:t>
      </w:r>
      <w:r w:rsidR="00973B68" w:rsidRPr="00973B68">
        <w:rPr>
          <w:szCs w:val="20"/>
        </w:rPr>
        <w:t xml:space="preserve">Kota Bengkulu merupakan </w:t>
      </w:r>
      <w:r w:rsidR="00973B68">
        <w:rPr>
          <w:lang w:val="en-US"/>
        </w:rPr>
        <w:t xml:space="preserve">wilayah </w:t>
      </w:r>
      <w:r w:rsidR="00973B68" w:rsidRPr="00973B68">
        <w:rPr>
          <w:szCs w:val="20"/>
        </w:rPr>
        <w:t xml:space="preserve">yang berdekatan dengan zona </w:t>
      </w:r>
      <w:r w:rsidR="00973B68" w:rsidRPr="00973B68">
        <w:rPr>
          <w:noProof/>
          <w:szCs w:val="20"/>
        </w:rPr>
        <w:t xml:space="preserve">subduksi antara lempeng Indo-Australia dan Eurasia. Kondisi tersebut </w:t>
      </w:r>
      <w:r w:rsidR="00973B68" w:rsidRPr="00973B68">
        <w:rPr>
          <w:szCs w:val="20"/>
        </w:rPr>
        <w:t xml:space="preserve">mengakibatkan daerah ini sangat rawan terhadap goncangan gempabumi. Salah satu upaya </w:t>
      </w:r>
      <w:r w:rsidR="00973B68">
        <w:rPr>
          <w:lang w:val="en-US"/>
        </w:rPr>
        <w:t xml:space="preserve">mengurangi dampak </w:t>
      </w:r>
      <w:r w:rsidR="00973B68" w:rsidRPr="00973B68">
        <w:rPr>
          <w:szCs w:val="20"/>
        </w:rPr>
        <w:t xml:space="preserve">bencana gempabumi adalah melakukan analisis potensi ancaman bahaya gempabumi berdasarkan parameter fisis batuan. Parameter fisis batuan yang dikaji dalam </w:t>
      </w:r>
      <w:r w:rsidR="00973B68">
        <w:rPr>
          <w:bCs w:val="0"/>
          <w:lang w:val="en-US"/>
        </w:rPr>
        <w:t>studi</w:t>
      </w:r>
      <w:r w:rsidR="00973B68" w:rsidRPr="00973B68">
        <w:rPr>
          <w:szCs w:val="20"/>
        </w:rPr>
        <w:t xml:space="preserve"> ini berupa </w:t>
      </w:r>
      <w:r w:rsidR="00973B68" w:rsidRPr="00973B68">
        <w:rPr>
          <w:i/>
          <w:szCs w:val="20"/>
        </w:rPr>
        <w:t>Vs</w:t>
      </w:r>
      <w:r w:rsidR="00973B68" w:rsidRPr="00973B68">
        <w:rPr>
          <w:szCs w:val="20"/>
          <w:vertAlign w:val="subscript"/>
        </w:rPr>
        <w:t>30</w:t>
      </w:r>
      <w:r w:rsidR="00973B68" w:rsidRPr="00973B68">
        <w:rPr>
          <w:szCs w:val="20"/>
        </w:rPr>
        <w:t xml:space="preserve">, jarak sesar ke titik pengukuran, kondisi batuan, percepatan getaran tanah maksimum </w:t>
      </w:r>
      <w:r w:rsidR="00973B68">
        <w:rPr>
          <w:bCs w:val="0"/>
          <w:lang w:val="en-US"/>
        </w:rPr>
        <w:t>(</w:t>
      </w:r>
      <w:r w:rsidR="00973B68" w:rsidRPr="00973B68">
        <w:rPr>
          <w:szCs w:val="20"/>
        </w:rPr>
        <w:t>PGA</w:t>
      </w:r>
      <w:r w:rsidR="00973B68">
        <w:rPr>
          <w:bCs w:val="0"/>
          <w:lang w:val="en-US"/>
        </w:rPr>
        <w:t>)</w:t>
      </w:r>
      <w:r w:rsidR="00973B68" w:rsidRPr="00973B68">
        <w:rPr>
          <w:szCs w:val="20"/>
        </w:rPr>
        <w:t xml:space="preserve">, </w:t>
      </w:r>
      <w:r w:rsidR="00973B68" w:rsidRPr="00973B68">
        <w:rPr>
          <w:i/>
          <w:szCs w:val="20"/>
        </w:rPr>
        <w:t>Modified Mercalli Intensity</w:t>
      </w:r>
      <w:r w:rsidR="00973B68">
        <w:t xml:space="preserve"> (</w:t>
      </w:r>
      <w:r w:rsidR="00973B68" w:rsidRPr="00973B68">
        <w:rPr>
          <w:szCs w:val="20"/>
        </w:rPr>
        <w:t xml:space="preserve">MMI), regangan geser tanah </w:t>
      </w:r>
      <w:r w:rsidR="00973B68">
        <w:rPr>
          <w:bCs w:val="0"/>
          <w:lang w:val="en-US"/>
        </w:rPr>
        <w:t>(</w:t>
      </w:r>
      <w:r w:rsidR="00973B68" w:rsidRPr="00973B68">
        <w:rPr>
          <w:szCs w:val="20"/>
        </w:rPr>
        <w:t>GSS</w:t>
      </w:r>
      <w:r w:rsidR="00973B68">
        <w:rPr>
          <w:bCs w:val="0"/>
          <w:lang w:val="en-US"/>
        </w:rPr>
        <w:t>)</w:t>
      </w:r>
      <w:r w:rsidR="00973B68" w:rsidRPr="00973B68">
        <w:rPr>
          <w:szCs w:val="20"/>
        </w:rPr>
        <w:t xml:space="preserve">, dan ketebalan lapisan sedimen. </w:t>
      </w:r>
      <w:r w:rsidR="005B15E2">
        <w:rPr>
          <w:lang w:val="en-US"/>
        </w:rPr>
        <w:t xml:space="preserve">Tujuan </w:t>
      </w:r>
      <w:r w:rsidR="0022593C">
        <w:rPr>
          <w:lang w:val="en-US"/>
        </w:rPr>
        <w:t xml:space="preserve">studi </w:t>
      </w:r>
      <w:r w:rsidR="005B15E2">
        <w:rPr>
          <w:lang w:val="en-US"/>
        </w:rPr>
        <w:t>ini adalah</w:t>
      </w:r>
      <w:r w:rsidR="00A63746" w:rsidRPr="00A63746">
        <w:rPr>
          <w:szCs w:val="20"/>
        </w:rPr>
        <w:t xml:space="preserve"> mengidentifikasi </w:t>
      </w:r>
      <w:r w:rsidR="005B15E2">
        <w:rPr>
          <w:bCs w:val="0"/>
          <w:lang w:val="en-US"/>
        </w:rPr>
        <w:t xml:space="preserve">dan memetakan </w:t>
      </w:r>
      <w:r w:rsidR="00A63746" w:rsidRPr="00A63746">
        <w:rPr>
          <w:szCs w:val="20"/>
        </w:rPr>
        <w:t>daerah-daerah yang berpotensi mengalami ancaman bahaya gempabumi</w:t>
      </w:r>
      <w:r w:rsidR="005B15E2">
        <w:rPr>
          <w:bCs w:val="0"/>
        </w:rPr>
        <w:t xml:space="preserve"> </w:t>
      </w:r>
      <w:r w:rsidR="00A63746" w:rsidRPr="00A63746">
        <w:rPr>
          <w:szCs w:val="20"/>
        </w:rPr>
        <w:t xml:space="preserve">dan menganalisis potensi ancaman bahaya gempabumi tersebut berdasarkan parameter fisis batuan. </w:t>
      </w:r>
      <w:r w:rsidR="00467F4C">
        <w:rPr>
          <w:bCs w:val="0"/>
          <w:lang w:val="en-US"/>
        </w:rPr>
        <w:t>P</w:t>
      </w:r>
      <w:r w:rsidR="00A63746" w:rsidRPr="00A63746">
        <w:rPr>
          <w:szCs w:val="20"/>
          <w:lang w:val="sv-SE"/>
        </w:rPr>
        <w:t>enelitian ini dilakukan melalui tahapan-tahapan berupa akuisisi data sekunder dan survai lapa</w:t>
      </w:r>
      <w:r w:rsidR="00467F4C">
        <w:rPr>
          <w:lang w:val="sv-SE"/>
        </w:rPr>
        <w:t>n</w:t>
      </w:r>
      <w:r w:rsidR="00A63746" w:rsidRPr="00A63746">
        <w:rPr>
          <w:szCs w:val="20"/>
          <w:lang w:val="sv-SE"/>
        </w:rPr>
        <w:t xml:space="preserve">gan. Data sekunder diperoleh dari </w:t>
      </w:r>
      <w:r w:rsidR="00EA4441">
        <w:rPr>
          <w:szCs w:val="20"/>
          <w:lang w:val="sv-SE"/>
        </w:rPr>
        <w:t xml:space="preserve">sumber-sumber </w:t>
      </w:r>
      <w:r w:rsidR="00F52774">
        <w:rPr>
          <w:szCs w:val="20"/>
          <w:lang w:val="sv-SE"/>
        </w:rPr>
        <w:t>dan penelitian</w:t>
      </w:r>
      <w:r w:rsidR="00A63746" w:rsidRPr="00A63746">
        <w:rPr>
          <w:szCs w:val="20"/>
          <w:lang w:val="sv-SE"/>
        </w:rPr>
        <w:t xml:space="preserve"> terkait, sedangkan data survai lapangan berupa data mikrotremor menggunakan metode </w:t>
      </w:r>
      <w:r w:rsidR="00A63746" w:rsidRPr="00A63746">
        <w:rPr>
          <w:rStyle w:val="reference-text"/>
          <w:i/>
          <w:szCs w:val="20"/>
        </w:rPr>
        <w:t>Horizontal to Vertical Spectral Ratio</w:t>
      </w:r>
      <w:r w:rsidR="00A63746" w:rsidRPr="00A63746">
        <w:rPr>
          <w:rStyle w:val="reference-text"/>
          <w:szCs w:val="20"/>
        </w:rPr>
        <w:t xml:space="preserve"> (</w:t>
      </w:r>
      <w:r w:rsidR="00A63746" w:rsidRPr="00A63746">
        <w:rPr>
          <w:szCs w:val="20"/>
          <w:lang w:val="sv-SE"/>
        </w:rPr>
        <w:t>HVSR). Hasil pengol</w:t>
      </w:r>
      <w:r w:rsidR="005B15E2">
        <w:rPr>
          <w:lang w:val="sv-SE"/>
        </w:rPr>
        <w:t>ahan data sekunder dan data sur</w:t>
      </w:r>
      <w:r w:rsidR="00A63746" w:rsidRPr="00A63746">
        <w:rPr>
          <w:szCs w:val="20"/>
          <w:lang w:val="sv-SE"/>
        </w:rPr>
        <w:t>vai lapangan selanjutnya di-</w:t>
      </w:r>
      <w:r w:rsidR="00A63746" w:rsidRPr="00A63746">
        <w:rPr>
          <w:i/>
          <w:szCs w:val="20"/>
          <w:lang w:val="sv-SE"/>
        </w:rPr>
        <w:t>overlay</w:t>
      </w:r>
      <w:r w:rsidR="00A63746" w:rsidRPr="00A63746">
        <w:rPr>
          <w:szCs w:val="20"/>
          <w:lang w:val="sv-SE"/>
        </w:rPr>
        <w:t xml:space="preserve"> menggunakan metode pembobotan statistik </w:t>
      </w:r>
      <w:r w:rsidR="00A63746" w:rsidRPr="00A63746">
        <w:rPr>
          <w:i/>
          <w:szCs w:val="20"/>
        </w:rPr>
        <w:t>Analytical Hierarchy Process</w:t>
      </w:r>
      <w:r w:rsidR="00A63746" w:rsidRPr="00A63746">
        <w:rPr>
          <w:szCs w:val="20"/>
        </w:rPr>
        <w:t xml:space="preserve"> (</w:t>
      </w:r>
      <w:r w:rsidR="00A63746" w:rsidRPr="00A63746">
        <w:rPr>
          <w:szCs w:val="20"/>
          <w:lang w:val="sv-SE"/>
        </w:rPr>
        <w:t xml:space="preserve">AHP), sehingga diperoleh peta potensi ancaman gempabumi di wilayah studi. </w:t>
      </w:r>
      <w:r w:rsidR="00467F4C" w:rsidRPr="00467F4C">
        <w:rPr>
          <w:szCs w:val="20"/>
        </w:rPr>
        <w:t>Hasil penelitian ini telah teridentifikasi dan terpetakan daerah-daerah yang berpotensi mengalami ancaman bahaya gempabumi berdasarkan parameter fisis batuan di Kota Bengkulu</w:t>
      </w:r>
      <w:r w:rsidR="00624AE5">
        <w:rPr>
          <w:szCs w:val="20"/>
          <w:lang w:val="en-US"/>
        </w:rPr>
        <w:t>, Provinsi Bengkulu</w:t>
      </w:r>
      <w:r w:rsidR="00467F4C" w:rsidRPr="00467F4C">
        <w:rPr>
          <w:szCs w:val="20"/>
        </w:rPr>
        <w:t xml:space="preserve">. Berdasarkan peta ancaman bahaya gempabumi tersebut daerah yang berisiko tinggi perlu lebih diwaspadai dan perlu perencanaan pembangunan yang mengacu </w:t>
      </w:r>
      <w:r w:rsidR="00F77D5E">
        <w:rPr>
          <w:bCs w:val="0"/>
          <w:lang w:val="en-US"/>
        </w:rPr>
        <w:t xml:space="preserve">kepada </w:t>
      </w:r>
      <w:r w:rsidR="00467F4C" w:rsidRPr="00467F4C">
        <w:rPr>
          <w:szCs w:val="20"/>
        </w:rPr>
        <w:t xml:space="preserve">standar risiko bencana. Daerah berisiko tinggi terletak di Kecamatan Gading Cempaka, Kecamatan Singaranpati, Kecamatan Selebar, sebagian kecil Kecamatan Ratu Agung, dan Kecamatan Muara Bangkahulu. Daerah berisiko rendah hanya terdapat di Kecamatan Selebar dan yang lainnya berpotensi sedang. </w:t>
      </w:r>
    </w:p>
    <w:p w:rsidR="00F77D5E" w:rsidRPr="00F77D5E" w:rsidRDefault="0042308B" w:rsidP="00F77D5E">
      <w:pPr>
        <w:pStyle w:val="Fluxkatakunci"/>
        <w:ind w:right="0"/>
      </w:pPr>
      <w:r w:rsidRPr="0042308B">
        <w:rPr>
          <w:lang w:val="en-US"/>
        </w:rPr>
        <w:t xml:space="preserve">KATA </w:t>
      </w:r>
      <w:r w:rsidRPr="00F77D5E">
        <w:rPr>
          <w:lang w:val="en-US"/>
        </w:rPr>
        <w:t xml:space="preserve">KUNCI: </w:t>
      </w:r>
      <w:r w:rsidR="00F77D5E" w:rsidRPr="00F77D5E">
        <w:rPr>
          <w:szCs w:val="20"/>
        </w:rPr>
        <w:t>AHP</w:t>
      </w:r>
      <w:r w:rsidR="00F77D5E" w:rsidRPr="00F77D5E">
        <w:rPr>
          <w:szCs w:val="20"/>
          <w:lang w:val="en-US"/>
        </w:rPr>
        <w:t xml:space="preserve">; </w:t>
      </w:r>
      <w:r w:rsidR="00F77D5E" w:rsidRPr="00F77D5E">
        <w:rPr>
          <w:szCs w:val="20"/>
        </w:rPr>
        <w:t>gempabumi</w:t>
      </w:r>
      <w:r w:rsidR="00F77D5E" w:rsidRPr="00F77D5E">
        <w:rPr>
          <w:szCs w:val="20"/>
          <w:lang w:val="en-US"/>
        </w:rPr>
        <w:t xml:space="preserve">; </w:t>
      </w:r>
      <w:r w:rsidR="00F77D5E" w:rsidRPr="00F77D5E">
        <w:rPr>
          <w:szCs w:val="20"/>
        </w:rPr>
        <w:t>HVSR</w:t>
      </w:r>
      <w:r w:rsidR="00F77D5E" w:rsidRPr="00F77D5E">
        <w:rPr>
          <w:szCs w:val="20"/>
          <w:lang w:val="en-US"/>
        </w:rPr>
        <w:t xml:space="preserve">; mikrotremor; </w:t>
      </w:r>
      <w:r w:rsidR="00F77D5E" w:rsidRPr="00F77D5E">
        <w:rPr>
          <w:szCs w:val="20"/>
        </w:rPr>
        <w:t>parameter fisis batuan</w:t>
      </w:r>
      <w:r w:rsidR="00F77D5E" w:rsidRPr="00F77D5E">
        <w:rPr>
          <w:szCs w:val="20"/>
          <w:lang w:val="en-US"/>
        </w:rPr>
        <w:t>.</w:t>
      </w:r>
    </w:p>
    <w:p w:rsidR="00342DBB" w:rsidRPr="00342DBB" w:rsidRDefault="00342DBB" w:rsidP="00342DBB">
      <w:pPr>
        <w:pStyle w:val="Fluxisi"/>
        <w:ind w:firstLine="0"/>
      </w:pPr>
      <w:bookmarkStart w:id="0" w:name="_GoBack"/>
      <w:bookmarkEnd w:id="0"/>
    </w:p>
    <w:p w:rsidR="00E62F5F" w:rsidRPr="00EE1A7D" w:rsidRDefault="00E62F5F" w:rsidP="00E62F5F">
      <w:pPr>
        <w:pStyle w:val="FluxAbstrak"/>
        <w:jc w:val="center"/>
        <w:rPr>
          <w:b/>
          <w:sz w:val="22"/>
          <w:szCs w:val="22"/>
        </w:rPr>
      </w:pPr>
      <w:r w:rsidRPr="00E62F5F">
        <w:rPr>
          <w:b/>
          <w:sz w:val="32"/>
          <w:szCs w:val="32"/>
        </w:rPr>
        <w:t xml:space="preserve">Analysis of Earthquake Hazards </w:t>
      </w:r>
      <w:r w:rsidRPr="00E62F5F">
        <w:rPr>
          <w:b/>
          <w:sz w:val="32"/>
          <w:szCs w:val="32"/>
        </w:rPr>
        <w:t xml:space="preserve">Potential </w:t>
      </w:r>
      <w:r w:rsidRPr="00E62F5F">
        <w:rPr>
          <w:b/>
          <w:sz w:val="32"/>
          <w:szCs w:val="32"/>
        </w:rPr>
        <w:t xml:space="preserve">Based on Physical Parameters of Rocks to Support </w:t>
      </w:r>
      <w:r>
        <w:rPr>
          <w:b/>
          <w:sz w:val="32"/>
          <w:szCs w:val="32"/>
          <w:lang w:val="en-US"/>
        </w:rPr>
        <w:t xml:space="preserve">the </w:t>
      </w:r>
      <w:r w:rsidRPr="00E62F5F">
        <w:rPr>
          <w:b/>
          <w:sz w:val="32"/>
          <w:szCs w:val="32"/>
        </w:rPr>
        <w:t>Disaster Mitigation in Bengkulu City, Bengkulu Province</w:t>
      </w:r>
    </w:p>
    <w:p w:rsidR="00D05FAD" w:rsidRPr="00D05FAD" w:rsidRDefault="00544532" w:rsidP="00D05FAD">
      <w:pPr>
        <w:pStyle w:val="FluxAbstrak"/>
      </w:pPr>
      <w:r w:rsidRPr="006E1819">
        <w:rPr>
          <w:b/>
          <w:sz w:val="22"/>
        </w:rPr>
        <w:t>ABSTRACT</w:t>
      </w:r>
      <w:r w:rsidR="00BD52B9" w:rsidRPr="006E1819">
        <w:t>−</w:t>
      </w:r>
      <w:r w:rsidR="00D05FAD">
        <w:rPr>
          <w:lang w:val="en-US"/>
        </w:rPr>
        <w:t xml:space="preserve"> </w:t>
      </w:r>
      <w:r w:rsidR="00D05FAD" w:rsidRPr="00342DBB">
        <w:t>Bengkulu City is an area close to the subduction zone between the Indo-Australian and Eurasian plates.</w:t>
      </w:r>
      <w:r w:rsidR="00D05FAD" w:rsidRPr="00342DBB">
        <w:rPr>
          <w:lang w:val="en-US"/>
        </w:rPr>
        <w:t xml:space="preserve"> </w:t>
      </w:r>
      <w:r w:rsidR="00D05FAD">
        <w:rPr>
          <w:lang w:val="en-US"/>
        </w:rPr>
        <w:t xml:space="preserve">The </w:t>
      </w:r>
      <w:r w:rsidR="00D05FAD" w:rsidRPr="00342DBB">
        <w:rPr>
          <w:lang w:val="en-US"/>
        </w:rPr>
        <w:t>condition makes this area very prone to earthquake shocks.</w:t>
      </w:r>
      <w:r w:rsidR="00D05FAD">
        <w:rPr>
          <w:lang w:val="en-US"/>
        </w:rPr>
        <w:t xml:space="preserve"> </w:t>
      </w:r>
      <w:r w:rsidR="00D05FAD" w:rsidRPr="00342DBB">
        <w:rPr>
          <w:lang w:val="en-US"/>
        </w:rPr>
        <w:t>One of the efforts to reduce the impact of an earthquake disaster is to analyze the hazards potential of an earthquake based on the physical parameters of the rock.</w:t>
      </w:r>
      <w:r w:rsidR="00D05FAD">
        <w:rPr>
          <w:lang w:val="en-US"/>
        </w:rPr>
        <w:t xml:space="preserve"> </w:t>
      </w:r>
      <w:r w:rsidR="00D05FAD" w:rsidRPr="00342DBB">
        <w:rPr>
          <w:lang w:val="en-US"/>
        </w:rPr>
        <w:t xml:space="preserve">The </w:t>
      </w:r>
      <w:r w:rsidR="009D4C20">
        <w:rPr>
          <w:lang w:val="en-US"/>
        </w:rPr>
        <w:t xml:space="preserve">rock </w:t>
      </w:r>
      <w:r w:rsidR="00D05FAD" w:rsidRPr="00342DBB">
        <w:rPr>
          <w:lang w:val="en-US"/>
        </w:rPr>
        <w:t>physical parameters studied in this study are Vs</w:t>
      </w:r>
      <w:r w:rsidR="00D05FAD" w:rsidRPr="00342DBB">
        <w:rPr>
          <w:vertAlign w:val="subscript"/>
          <w:lang w:val="en-US"/>
        </w:rPr>
        <w:t>30</w:t>
      </w:r>
      <w:r w:rsidR="00D05FAD" w:rsidRPr="00342DBB">
        <w:rPr>
          <w:lang w:val="en-US"/>
        </w:rPr>
        <w:t xml:space="preserve">, the distance of the fault to the measurement point, rock conditions, </w:t>
      </w:r>
      <w:r w:rsidR="00D05FAD">
        <w:rPr>
          <w:lang w:val="en-US"/>
        </w:rPr>
        <w:t xml:space="preserve">peak </w:t>
      </w:r>
      <w:r w:rsidR="00D05FAD" w:rsidRPr="00342DBB">
        <w:rPr>
          <w:lang w:val="en-US"/>
        </w:rPr>
        <w:t xml:space="preserve">ground acceleration (PGA), Modified Mercalli Intensity (MMI), </w:t>
      </w:r>
      <w:r w:rsidR="00D05FAD">
        <w:rPr>
          <w:lang w:val="en-US"/>
        </w:rPr>
        <w:t xml:space="preserve">ground </w:t>
      </w:r>
      <w:r w:rsidR="00D05FAD" w:rsidRPr="00342DBB">
        <w:rPr>
          <w:lang w:val="en-US"/>
        </w:rPr>
        <w:t>shear strain (GSS), and thickness of the sediment layer.</w:t>
      </w:r>
      <w:r w:rsidR="00D05FAD">
        <w:rPr>
          <w:lang w:val="en-US"/>
        </w:rPr>
        <w:t xml:space="preserve"> </w:t>
      </w:r>
      <w:r w:rsidR="00D05FAD" w:rsidRPr="00732A94">
        <w:rPr>
          <w:lang w:val="en-US"/>
        </w:rPr>
        <w:t xml:space="preserve">The </w:t>
      </w:r>
      <w:r w:rsidR="00D05FAD">
        <w:rPr>
          <w:lang w:val="en-US"/>
        </w:rPr>
        <w:t>aim</w:t>
      </w:r>
      <w:r w:rsidR="00D05FAD" w:rsidRPr="00732A94">
        <w:rPr>
          <w:lang w:val="en-US"/>
        </w:rPr>
        <w:t xml:space="preserve"> of this study is to identify and map </w:t>
      </w:r>
      <w:r w:rsidR="00D05FAD">
        <w:rPr>
          <w:lang w:val="en-US"/>
        </w:rPr>
        <w:t xml:space="preserve">the </w:t>
      </w:r>
      <w:r w:rsidR="00D05FAD" w:rsidRPr="00732A94">
        <w:rPr>
          <w:lang w:val="en-US"/>
        </w:rPr>
        <w:t xml:space="preserve">areas that are potentially </w:t>
      </w:r>
      <w:r w:rsidR="00D05FAD">
        <w:rPr>
          <w:lang w:val="en-US"/>
        </w:rPr>
        <w:t xml:space="preserve">the </w:t>
      </w:r>
      <w:r w:rsidR="00D05FAD" w:rsidRPr="00732A94">
        <w:rPr>
          <w:lang w:val="en-US"/>
        </w:rPr>
        <w:t xml:space="preserve">hazardous to earthquake and to analyze them based on the physical </w:t>
      </w:r>
      <w:r w:rsidR="00D05FAD" w:rsidRPr="00732A94">
        <w:rPr>
          <w:lang w:val="en-US"/>
        </w:rPr>
        <w:lastRenderedPageBreak/>
        <w:t>parameters of the rocks.</w:t>
      </w:r>
      <w:r w:rsidR="00D05FAD">
        <w:rPr>
          <w:lang w:val="en-US"/>
        </w:rPr>
        <w:t xml:space="preserve"> </w:t>
      </w:r>
      <w:r w:rsidR="00D05FAD" w:rsidRPr="00E12E15">
        <w:rPr>
          <w:lang w:val="en-US"/>
        </w:rPr>
        <w:t xml:space="preserve">This </w:t>
      </w:r>
      <w:r w:rsidR="00D05FAD">
        <w:rPr>
          <w:lang w:val="en-US"/>
        </w:rPr>
        <w:t>study</w:t>
      </w:r>
      <w:r w:rsidR="00D05FAD" w:rsidRPr="00E12E15">
        <w:rPr>
          <w:lang w:val="en-US"/>
        </w:rPr>
        <w:t xml:space="preserve"> was conducted through stages in the form of secondary data acquisition and field surveys.</w:t>
      </w:r>
      <w:r w:rsidR="00D05FAD">
        <w:rPr>
          <w:lang w:val="en-US"/>
        </w:rPr>
        <w:t xml:space="preserve"> </w:t>
      </w:r>
      <w:r w:rsidR="00D05FAD" w:rsidRPr="00EA4441">
        <w:rPr>
          <w:lang w:val="en-US"/>
        </w:rPr>
        <w:t>Secondary data were obtained from related sources and research, while field survey data were in the form of micro</w:t>
      </w:r>
      <w:r w:rsidR="00D05FAD">
        <w:rPr>
          <w:lang w:val="en-US"/>
        </w:rPr>
        <w:t>-</w:t>
      </w:r>
      <w:r w:rsidR="00D05FAD" w:rsidRPr="00EA4441">
        <w:rPr>
          <w:lang w:val="en-US"/>
        </w:rPr>
        <w:t>tremor data using the Horizontal to Vertical Spectral Ratio (HVSR) method.</w:t>
      </w:r>
      <w:r w:rsidR="00D05FAD">
        <w:rPr>
          <w:lang w:val="en-US"/>
        </w:rPr>
        <w:t xml:space="preserve"> </w:t>
      </w:r>
      <w:r w:rsidR="00D05FAD" w:rsidRPr="00667FBF">
        <w:rPr>
          <w:lang w:val="en-US"/>
        </w:rPr>
        <w:t>The results of secondary data processing and field survey data are then overlaid using the Analytical Hierarchy Process (AHP) statistical weighting method, in order to obtain a map of earthquake threats potential in the study area.</w:t>
      </w:r>
      <w:r w:rsidR="00D05FAD">
        <w:rPr>
          <w:lang w:val="en-US"/>
        </w:rPr>
        <w:t xml:space="preserve"> </w:t>
      </w:r>
      <w:r w:rsidR="00D05FAD" w:rsidRPr="008852DF">
        <w:rPr>
          <w:lang w:val="en-US"/>
        </w:rPr>
        <w:t xml:space="preserve">The results of this study have identified and mapped </w:t>
      </w:r>
      <w:r w:rsidR="00D05FAD">
        <w:rPr>
          <w:lang w:val="en-US"/>
        </w:rPr>
        <w:t xml:space="preserve">the </w:t>
      </w:r>
      <w:r w:rsidR="00D05FAD" w:rsidRPr="008852DF">
        <w:rPr>
          <w:lang w:val="en-US"/>
        </w:rPr>
        <w:t>areas that have the potential to threaten the earthquake hazard based on the physical rock parameters in Bengkulu City</w:t>
      </w:r>
      <w:r w:rsidR="004E58A9">
        <w:rPr>
          <w:lang w:val="en-US"/>
        </w:rPr>
        <w:t>, Bengkulu Province</w:t>
      </w:r>
      <w:r w:rsidR="00D05FAD" w:rsidRPr="008852DF">
        <w:rPr>
          <w:lang w:val="en-US"/>
        </w:rPr>
        <w:t>.</w:t>
      </w:r>
      <w:r w:rsidR="00D05FAD">
        <w:rPr>
          <w:lang w:val="en-US"/>
        </w:rPr>
        <w:t xml:space="preserve"> </w:t>
      </w:r>
      <w:r w:rsidR="00D05FAD" w:rsidRPr="008852DF">
        <w:rPr>
          <w:lang w:val="en-US"/>
        </w:rPr>
        <w:t>Based on the earthquake hazard map, high-risk areas need to be more vigilant and need development planning that refers to disaster risk standards.</w:t>
      </w:r>
      <w:r w:rsidR="00D05FAD">
        <w:rPr>
          <w:lang w:val="en-US"/>
        </w:rPr>
        <w:t xml:space="preserve"> </w:t>
      </w:r>
      <w:r w:rsidR="00D05FAD" w:rsidRPr="008852DF">
        <w:rPr>
          <w:lang w:val="en-US"/>
        </w:rPr>
        <w:t xml:space="preserve">High risk areas are located in Gading Cempaka </w:t>
      </w:r>
      <w:r w:rsidR="00D05FAD">
        <w:rPr>
          <w:lang w:val="en-US"/>
        </w:rPr>
        <w:t>Sub-d</w:t>
      </w:r>
      <w:r w:rsidR="00D05FAD" w:rsidRPr="008852DF">
        <w:rPr>
          <w:lang w:val="en-US"/>
        </w:rPr>
        <w:t xml:space="preserve">istrict, Singaranpati </w:t>
      </w:r>
      <w:r w:rsidR="00D05FAD">
        <w:rPr>
          <w:lang w:val="en-US"/>
        </w:rPr>
        <w:t>Sub-d</w:t>
      </w:r>
      <w:r w:rsidR="00D05FAD" w:rsidRPr="008852DF">
        <w:rPr>
          <w:lang w:val="en-US"/>
        </w:rPr>
        <w:t xml:space="preserve">istrict, Selebar </w:t>
      </w:r>
      <w:r w:rsidR="00D05FAD">
        <w:rPr>
          <w:lang w:val="en-US"/>
        </w:rPr>
        <w:t>Sub-d</w:t>
      </w:r>
      <w:r w:rsidR="00D05FAD" w:rsidRPr="008852DF">
        <w:rPr>
          <w:lang w:val="en-US"/>
        </w:rPr>
        <w:t xml:space="preserve">istrict, a small part of Ratu Agung </w:t>
      </w:r>
      <w:r w:rsidR="00D05FAD">
        <w:rPr>
          <w:lang w:val="en-US"/>
        </w:rPr>
        <w:t>Sub-d</w:t>
      </w:r>
      <w:r w:rsidR="00D05FAD" w:rsidRPr="008852DF">
        <w:rPr>
          <w:lang w:val="en-US"/>
        </w:rPr>
        <w:t xml:space="preserve">istrict, and Muara Bangkahulu </w:t>
      </w:r>
      <w:r w:rsidR="00D05FAD">
        <w:rPr>
          <w:lang w:val="en-US"/>
        </w:rPr>
        <w:t>Sub-d</w:t>
      </w:r>
      <w:r w:rsidR="00D05FAD" w:rsidRPr="008852DF">
        <w:rPr>
          <w:lang w:val="en-US"/>
        </w:rPr>
        <w:t>istrict.</w:t>
      </w:r>
      <w:r w:rsidR="00D05FAD">
        <w:rPr>
          <w:lang w:val="en-US"/>
        </w:rPr>
        <w:t xml:space="preserve"> </w:t>
      </w:r>
      <w:r w:rsidR="00D05FAD" w:rsidRPr="00AA1C3F">
        <w:rPr>
          <w:lang w:val="en-US"/>
        </w:rPr>
        <w:t xml:space="preserve">Low risk areas are only found in Selebar </w:t>
      </w:r>
      <w:r w:rsidR="00D05FAD">
        <w:rPr>
          <w:lang w:val="en-US"/>
        </w:rPr>
        <w:t>Sub-d</w:t>
      </w:r>
      <w:r w:rsidR="00D05FAD" w:rsidRPr="00AA1C3F">
        <w:rPr>
          <w:lang w:val="en-US"/>
        </w:rPr>
        <w:t>istrict and the others have medium potential.</w:t>
      </w:r>
    </w:p>
    <w:p w:rsidR="009D4C20" w:rsidRPr="00F77D5E" w:rsidRDefault="00544532" w:rsidP="009D4C20">
      <w:pPr>
        <w:pStyle w:val="Fluxkatakunci"/>
        <w:ind w:right="0"/>
      </w:pPr>
      <w:r w:rsidRPr="0042308B">
        <w:t>KEYWORD</w:t>
      </w:r>
      <w:r w:rsidR="00816FB2" w:rsidRPr="0042308B">
        <w:t>S</w:t>
      </w:r>
      <w:r w:rsidR="00BD52B9" w:rsidRPr="006E1819">
        <w:t xml:space="preserve"> : </w:t>
      </w:r>
      <w:r w:rsidR="009D4C20" w:rsidRPr="00F77D5E">
        <w:rPr>
          <w:szCs w:val="20"/>
        </w:rPr>
        <w:t>AHP</w:t>
      </w:r>
      <w:r w:rsidR="009D4C20" w:rsidRPr="00F77D5E">
        <w:rPr>
          <w:szCs w:val="20"/>
          <w:lang w:val="en-US"/>
        </w:rPr>
        <w:t xml:space="preserve">; </w:t>
      </w:r>
      <w:r w:rsidR="009D4C20" w:rsidRPr="009D4C20">
        <w:rPr>
          <w:szCs w:val="20"/>
        </w:rPr>
        <w:t>earthquake;</w:t>
      </w:r>
      <w:r w:rsidR="009D4C20" w:rsidRPr="00F77D5E">
        <w:rPr>
          <w:szCs w:val="20"/>
          <w:lang w:val="en-US"/>
        </w:rPr>
        <w:t xml:space="preserve">; </w:t>
      </w:r>
      <w:r w:rsidR="009D4C20" w:rsidRPr="00F77D5E">
        <w:rPr>
          <w:szCs w:val="20"/>
        </w:rPr>
        <w:t>HVSR</w:t>
      </w:r>
      <w:r w:rsidR="009D4C20" w:rsidRPr="00F77D5E">
        <w:rPr>
          <w:szCs w:val="20"/>
          <w:lang w:val="en-US"/>
        </w:rPr>
        <w:t xml:space="preserve">; </w:t>
      </w:r>
      <w:r w:rsidR="009D4C20" w:rsidRPr="009D4C20">
        <w:rPr>
          <w:szCs w:val="20"/>
          <w:lang w:val="en-US"/>
        </w:rPr>
        <w:t>micro</w:t>
      </w:r>
      <w:r w:rsidR="009D4C20">
        <w:rPr>
          <w:szCs w:val="20"/>
          <w:lang w:val="en-US"/>
        </w:rPr>
        <w:t>-</w:t>
      </w:r>
      <w:r w:rsidR="009D4C20" w:rsidRPr="009D4C20">
        <w:rPr>
          <w:szCs w:val="20"/>
          <w:lang w:val="en-US"/>
        </w:rPr>
        <w:t>tremor</w:t>
      </w:r>
      <w:r w:rsidR="009D4C20" w:rsidRPr="00F77D5E">
        <w:rPr>
          <w:szCs w:val="20"/>
          <w:lang w:val="en-US"/>
        </w:rPr>
        <w:t xml:space="preserve">; </w:t>
      </w:r>
      <w:r w:rsidR="009D4C20" w:rsidRPr="009D4C20">
        <w:rPr>
          <w:szCs w:val="20"/>
          <w:lang w:val="en-US"/>
        </w:rPr>
        <w:t>rock physical parameters</w:t>
      </w:r>
      <w:r w:rsidR="009D4C20" w:rsidRPr="00F77D5E">
        <w:rPr>
          <w:szCs w:val="20"/>
          <w:lang w:val="en-US"/>
        </w:rPr>
        <w:t>.</w:t>
      </w:r>
    </w:p>
    <w:p w:rsidR="000139F7" w:rsidRDefault="000139F7" w:rsidP="009D4C20">
      <w:pPr>
        <w:pStyle w:val="Fluxkatakunci"/>
        <w:rPr>
          <w:bCs w:val="0"/>
          <w:lang w:val="en-US"/>
        </w:rPr>
      </w:pPr>
    </w:p>
    <w:p w:rsidR="006E1819" w:rsidRPr="006E1819" w:rsidRDefault="006E1819" w:rsidP="006E1819">
      <w:pPr>
        <w:tabs>
          <w:tab w:val="left" w:pos="567"/>
        </w:tabs>
        <w:rPr>
          <w:rFonts w:ascii="Palatino Linotype" w:hAnsi="Palatino Linotype"/>
          <w:bCs/>
          <w:szCs w:val="19"/>
          <w:lang w:val="en-US"/>
        </w:rPr>
        <w:sectPr w:rsidR="006E1819" w:rsidRPr="006E1819" w:rsidSect="006B2144">
          <w:headerReference w:type="even" r:id="rId8"/>
          <w:headerReference w:type="default" r:id="rId9"/>
          <w:footerReference w:type="default" r:id="rId10"/>
          <w:type w:val="continuous"/>
          <w:pgSz w:w="11909" w:h="16834" w:code="9"/>
          <w:pgMar w:top="1134" w:right="1134" w:bottom="1134" w:left="1134" w:header="431" w:footer="431" w:gutter="0"/>
          <w:pgNumType w:start="1"/>
          <w:cols w:space="720"/>
          <w:docGrid w:linePitch="272"/>
        </w:sectPr>
      </w:pPr>
    </w:p>
    <w:p w:rsidR="00BD52B9" w:rsidRPr="006E1819" w:rsidRDefault="00BD52B9" w:rsidP="00E36948">
      <w:pPr>
        <w:pStyle w:val="Heading1"/>
      </w:pPr>
      <w:r w:rsidRPr="006E1819">
        <w:t>P</w:t>
      </w:r>
      <w:r w:rsidR="00C00D72" w:rsidRPr="006E1819">
        <w:rPr>
          <w:lang w:val="en-US"/>
        </w:rPr>
        <w:t>ENDAHULUA</w:t>
      </w:r>
      <w:r w:rsidR="00A63E57" w:rsidRPr="006E1819">
        <w:rPr>
          <w:lang w:val="en-US"/>
        </w:rPr>
        <w:t>N</w:t>
      </w:r>
      <w:r w:rsidR="00544532" w:rsidRPr="006E1819">
        <w:rPr>
          <w:lang w:val="en-US"/>
        </w:rPr>
        <w:t xml:space="preserve"> </w:t>
      </w:r>
    </w:p>
    <w:p w:rsidR="009E13B9" w:rsidRDefault="009E13B9" w:rsidP="009E13B9">
      <w:pPr>
        <w:pStyle w:val="Fluxisi"/>
        <w:ind w:firstLine="446"/>
        <w:rPr>
          <w:szCs w:val="22"/>
          <w:lang w:val="fi-FI"/>
        </w:rPr>
      </w:pPr>
      <w:r w:rsidRPr="009E13B9">
        <w:rPr>
          <w:szCs w:val="22"/>
        </w:rPr>
        <w:t xml:space="preserve">Kota Bengkulu </w:t>
      </w:r>
      <w:r w:rsidRPr="0020303F">
        <w:rPr>
          <w:szCs w:val="22"/>
        </w:rPr>
        <w:t xml:space="preserve">merupakan ibukota Provinsi Bengkulu yang posisinya berdekatan dengan zona </w:t>
      </w:r>
      <w:r w:rsidRPr="0020303F">
        <w:rPr>
          <w:noProof/>
          <w:szCs w:val="22"/>
        </w:rPr>
        <w:t xml:space="preserve">subduksi antara lempeng Indo-Australia dan Eurasia. </w:t>
      </w:r>
      <w:r w:rsidRPr="0020303F">
        <w:rPr>
          <w:noProof/>
          <w:szCs w:val="22"/>
          <w:lang w:val="en-US"/>
        </w:rPr>
        <w:t>K</w:t>
      </w:r>
      <w:r w:rsidRPr="0020303F">
        <w:rPr>
          <w:noProof/>
          <w:szCs w:val="22"/>
        </w:rPr>
        <w:t xml:space="preserve">ondisi </w:t>
      </w:r>
      <w:r w:rsidRPr="0020303F">
        <w:rPr>
          <w:noProof/>
          <w:szCs w:val="22"/>
          <w:lang w:val="en-US"/>
        </w:rPr>
        <w:t xml:space="preserve">ini </w:t>
      </w:r>
      <w:r w:rsidRPr="0020303F">
        <w:rPr>
          <w:szCs w:val="22"/>
        </w:rPr>
        <w:t xml:space="preserve">mengakibatkan Kota Bengkulu merupakan daerah yang sangat rawan terhadap goncangan gempabumi </w:t>
      </w:r>
      <w:r w:rsidRPr="0020303F">
        <w:rPr>
          <w:szCs w:val="22"/>
          <w:lang w:val="fi-FI"/>
        </w:rPr>
        <w:t>(Hadi</w:t>
      </w:r>
      <w:r w:rsidR="00260811" w:rsidRPr="0020303F">
        <w:rPr>
          <w:szCs w:val="22"/>
          <w:lang w:val="fi-FI"/>
        </w:rPr>
        <w:t>, Farid, &amp; Fauzi</w:t>
      </w:r>
      <w:r w:rsidRPr="0020303F">
        <w:rPr>
          <w:szCs w:val="22"/>
          <w:lang w:val="fi-FI"/>
        </w:rPr>
        <w:t>, 2012)</w:t>
      </w:r>
      <w:r w:rsidRPr="0020303F">
        <w:rPr>
          <w:szCs w:val="22"/>
        </w:rPr>
        <w:t xml:space="preserve">. </w:t>
      </w:r>
      <w:r w:rsidRPr="0020303F">
        <w:rPr>
          <w:szCs w:val="22"/>
          <w:lang w:val="fi-FI"/>
        </w:rPr>
        <w:t xml:space="preserve">Kota Bengkulu yang lokasinya berdekatan dengan pantai merupakan </w:t>
      </w:r>
      <w:r w:rsidR="000415BD" w:rsidRPr="0020303F">
        <w:rPr>
          <w:szCs w:val="22"/>
          <w:lang w:val="fi-FI"/>
        </w:rPr>
        <w:t>daerah yang lebih dahulu menerima</w:t>
      </w:r>
      <w:r w:rsidRPr="0020303F">
        <w:rPr>
          <w:szCs w:val="22"/>
          <w:lang w:val="fi-FI"/>
        </w:rPr>
        <w:t xml:space="preserve"> goncangan</w:t>
      </w:r>
      <w:r w:rsidRPr="009E13B9">
        <w:rPr>
          <w:szCs w:val="22"/>
          <w:lang w:val="fi-FI"/>
        </w:rPr>
        <w:t xml:space="preserve"> gempabumi dan </w:t>
      </w:r>
      <w:r w:rsidR="000415BD">
        <w:rPr>
          <w:szCs w:val="22"/>
          <w:lang w:val="fi-FI"/>
        </w:rPr>
        <w:t xml:space="preserve">berdampak </w:t>
      </w:r>
      <w:r w:rsidRPr="009E13B9">
        <w:rPr>
          <w:szCs w:val="22"/>
          <w:lang w:val="fi-FI"/>
        </w:rPr>
        <w:t>lebih besar dibandingkan dengan</w:t>
      </w:r>
      <w:r w:rsidR="000415BD">
        <w:rPr>
          <w:szCs w:val="22"/>
          <w:lang w:val="fi-FI"/>
        </w:rPr>
        <w:t xml:space="preserve"> daerah lain</w:t>
      </w:r>
      <w:r w:rsidRPr="009E13B9">
        <w:rPr>
          <w:szCs w:val="22"/>
          <w:lang w:val="fi-FI"/>
        </w:rPr>
        <w:t xml:space="preserve">. </w:t>
      </w:r>
    </w:p>
    <w:p w:rsidR="000415BD" w:rsidRPr="000415BD" w:rsidRDefault="000415BD" w:rsidP="000415BD">
      <w:pPr>
        <w:ind w:firstLine="450"/>
        <w:jc w:val="both"/>
        <w:rPr>
          <w:rFonts w:ascii="Palatino Linotype" w:hAnsi="Palatino Linotype"/>
          <w:bCs/>
          <w:sz w:val="22"/>
          <w:szCs w:val="22"/>
        </w:rPr>
      </w:pPr>
      <w:r w:rsidRPr="0020303F">
        <w:rPr>
          <w:rFonts w:ascii="Palatino Linotype" w:hAnsi="Palatino Linotype"/>
          <w:sz w:val="22"/>
          <w:szCs w:val="22"/>
          <w:lang w:val="en-US"/>
        </w:rPr>
        <w:t xml:space="preserve">Sampai saat ini, </w:t>
      </w:r>
      <w:r w:rsidRPr="0020303F">
        <w:rPr>
          <w:rFonts w:ascii="Palatino Linotype" w:hAnsi="Palatino Linotype"/>
          <w:sz w:val="22"/>
          <w:szCs w:val="22"/>
        </w:rPr>
        <w:t xml:space="preserve">gempabumi merupakan </w:t>
      </w:r>
      <w:r w:rsidRPr="0020303F">
        <w:rPr>
          <w:rFonts w:ascii="Palatino Linotype" w:hAnsi="Palatino Linotype"/>
          <w:sz w:val="22"/>
          <w:szCs w:val="22"/>
          <w:lang w:val="en-US"/>
        </w:rPr>
        <w:t xml:space="preserve">peristiwa </w:t>
      </w:r>
      <w:r w:rsidRPr="0020303F">
        <w:rPr>
          <w:rFonts w:ascii="Palatino Linotype" w:hAnsi="Palatino Linotype"/>
          <w:sz w:val="22"/>
          <w:szCs w:val="22"/>
        </w:rPr>
        <w:t xml:space="preserve">alam yang </w:t>
      </w:r>
      <w:r w:rsidRPr="0020303F">
        <w:rPr>
          <w:rFonts w:ascii="Palatino Linotype" w:hAnsi="Palatino Linotype"/>
          <w:sz w:val="22"/>
          <w:szCs w:val="22"/>
          <w:lang w:val="en-US"/>
        </w:rPr>
        <w:t xml:space="preserve">tidak dapat dicegah dan </w:t>
      </w:r>
      <w:r w:rsidRPr="0020303F">
        <w:rPr>
          <w:rFonts w:ascii="Palatino Linotype" w:hAnsi="Palatino Linotype"/>
          <w:sz w:val="22"/>
          <w:szCs w:val="22"/>
        </w:rPr>
        <w:t xml:space="preserve">belum dapat </w:t>
      </w:r>
      <w:r w:rsidRPr="0020303F">
        <w:rPr>
          <w:rFonts w:ascii="Palatino Linotype" w:hAnsi="Palatino Linotype"/>
          <w:sz w:val="22"/>
          <w:szCs w:val="22"/>
          <w:lang w:val="en-US"/>
        </w:rPr>
        <w:t xml:space="preserve">diprediksi </w:t>
      </w:r>
      <w:r w:rsidRPr="0020303F">
        <w:rPr>
          <w:rFonts w:ascii="Palatino Linotype" w:hAnsi="Palatino Linotype"/>
          <w:sz w:val="22"/>
          <w:szCs w:val="22"/>
        </w:rPr>
        <w:t xml:space="preserve">secara akurat </w:t>
      </w:r>
      <w:r w:rsidRPr="0020303F">
        <w:rPr>
          <w:rFonts w:ascii="Palatino Linotype" w:hAnsi="Palatino Linotype"/>
          <w:sz w:val="22"/>
          <w:szCs w:val="22"/>
          <w:lang w:val="en-US"/>
        </w:rPr>
        <w:t xml:space="preserve">baik waktu, lokasi, dan </w:t>
      </w:r>
      <w:r w:rsidRPr="0020303F">
        <w:rPr>
          <w:rFonts w:ascii="Palatino Linotype" w:hAnsi="Palatino Linotype"/>
          <w:sz w:val="22"/>
          <w:szCs w:val="22"/>
        </w:rPr>
        <w:t xml:space="preserve">magnitudonya </w:t>
      </w:r>
      <w:r w:rsidR="00D567A9" w:rsidRPr="0020303F">
        <w:rPr>
          <w:rFonts w:ascii="Palatino Linotype" w:hAnsi="Palatino Linotype"/>
          <w:sz w:val="22"/>
          <w:szCs w:val="22"/>
        </w:rPr>
        <w:t>(Irsyam</w:t>
      </w:r>
      <w:r w:rsidRPr="0020303F">
        <w:rPr>
          <w:rFonts w:ascii="Palatino Linotype" w:hAnsi="Palatino Linotype"/>
          <w:sz w:val="22"/>
          <w:szCs w:val="22"/>
        </w:rPr>
        <w:t xml:space="preserve"> et al., 2010). Untuk itu, </w:t>
      </w:r>
      <w:r w:rsidRPr="0020303F">
        <w:rPr>
          <w:rFonts w:ascii="Palatino Linotype" w:hAnsi="Palatino Linotype"/>
          <w:sz w:val="22"/>
          <w:szCs w:val="22"/>
          <w:lang w:val="en-US"/>
        </w:rPr>
        <w:t xml:space="preserve">perlu upaya untuk </w:t>
      </w:r>
      <w:r w:rsidRPr="0020303F">
        <w:rPr>
          <w:rFonts w:ascii="Palatino Linotype" w:hAnsi="Palatino Linotype"/>
          <w:sz w:val="22"/>
          <w:szCs w:val="22"/>
        </w:rPr>
        <w:t xml:space="preserve">mengantisipasi dampak bahaya gempa </w:t>
      </w:r>
      <w:r w:rsidRPr="0020303F">
        <w:rPr>
          <w:rFonts w:ascii="Palatino Linotype" w:hAnsi="Palatino Linotype"/>
          <w:sz w:val="22"/>
          <w:szCs w:val="22"/>
          <w:lang w:val="en-US"/>
        </w:rPr>
        <w:t xml:space="preserve">tersebut melalui </w:t>
      </w:r>
      <w:r w:rsidRPr="0020303F">
        <w:rPr>
          <w:rFonts w:ascii="Palatino Linotype" w:hAnsi="Palatino Linotype"/>
          <w:sz w:val="22"/>
          <w:szCs w:val="22"/>
        </w:rPr>
        <w:t>mitigasi bencana. Salah</w:t>
      </w:r>
      <w:r w:rsidRPr="000415BD">
        <w:rPr>
          <w:rFonts w:ascii="Palatino Linotype" w:hAnsi="Palatino Linotype"/>
          <w:sz w:val="22"/>
          <w:szCs w:val="22"/>
        </w:rPr>
        <w:t xml:space="preserve"> satu upaya mitigasi bencana adalah melakukan analisis potensi ancaman bahaya </w:t>
      </w:r>
      <w:r w:rsidRPr="000415BD">
        <w:rPr>
          <w:rFonts w:ascii="Palatino Linotype" w:hAnsi="Palatino Linotype"/>
          <w:bCs/>
          <w:sz w:val="22"/>
          <w:szCs w:val="22"/>
        </w:rPr>
        <w:t>gempabumi berdasarkan parameter fisis batuan. Parameter fisis batuan yang dikaji dalam penelitian ini berupa kondisi geologi (</w:t>
      </w:r>
      <w:r w:rsidRPr="000415BD">
        <w:rPr>
          <w:rFonts w:ascii="Palatino Linotype" w:hAnsi="Palatino Linotype"/>
          <w:bCs/>
          <w:i/>
          <w:sz w:val="22"/>
          <w:szCs w:val="22"/>
        </w:rPr>
        <w:t>Vs</w:t>
      </w:r>
      <w:r w:rsidRPr="000415BD">
        <w:rPr>
          <w:rFonts w:ascii="Palatino Linotype" w:hAnsi="Palatino Linotype"/>
          <w:bCs/>
          <w:sz w:val="22"/>
          <w:szCs w:val="22"/>
          <w:vertAlign w:val="subscript"/>
        </w:rPr>
        <w:t>30</w:t>
      </w:r>
      <w:r w:rsidRPr="000415BD">
        <w:rPr>
          <w:rFonts w:ascii="Palatino Linotype" w:hAnsi="Palatino Linotype"/>
          <w:bCs/>
          <w:sz w:val="22"/>
          <w:szCs w:val="22"/>
        </w:rPr>
        <w:t xml:space="preserve">), struktur geologi (jarak sesar ke titik pengukuran), kondisi batuan, seismisitas (percepatan getaran tanah maksimum atau </w:t>
      </w:r>
      <w:r w:rsidRPr="000415BD">
        <w:rPr>
          <w:rFonts w:ascii="Palatino Linotype" w:hAnsi="Palatino Linotype"/>
          <w:bCs/>
          <w:i/>
          <w:sz w:val="22"/>
          <w:szCs w:val="22"/>
        </w:rPr>
        <w:t>peak ground acceleration</w:t>
      </w:r>
      <w:r w:rsidRPr="000415BD">
        <w:rPr>
          <w:rFonts w:ascii="Palatino Linotype" w:hAnsi="Palatino Linotype"/>
          <w:bCs/>
          <w:sz w:val="22"/>
          <w:szCs w:val="22"/>
        </w:rPr>
        <w:t xml:space="preserve">/PGA, dan </w:t>
      </w:r>
      <w:r w:rsidRPr="000415BD">
        <w:rPr>
          <w:rFonts w:ascii="Palatino Linotype" w:hAnsi="Palatino Linotype"/>
          <w:bCs/>
          <w:i/>
          <w:sz w:val="22"/>
          <w:szCs w:val="22"/>
        </w:rPr>
        <w:t>Modified Mercalli Intensity</w:t>
      </w:r>
      <w:r w:rsidRPr="000415BD">
        <w:rPr>
          <w:rFonts w:ascii="Palatino Linotype" w:hAnsi="Palatino Linotype"/>
          <w:sz w:val="22"/>
          <w:szCs w:val="22"/>
        </w:rPr>
        <w:t>/MMI</w:t>
      </w:r>
      <w:r w:rsidRPr="000415BD">
        <w:rPr>
          <w:rFonts w:ascii="Palatino Linotype" w:hAnsi="Palatino Linotype"/>
          <w:bCs/>
          <w:sz w:val="22"/>
          <w:szCs w:val="22"/>
        </w:rPr>
        <w:t xml:space="preserve">), regangan geser tanah atau </w:t>
      </w:r>
      <w:r w:rsidRPr="000415BD">
        <w:rPr>
          <w:rFonts w:ascii="Palatino Linotype" w:hAnsi="Palatino Linotype"/>
          <w:bCs/>
          <w:i/>
          <w:sz w:val="22"/>
          <w:szCs w:val="22"/>
        </w:rPr>
        <w:t>ground shear strain</w:t>
      </w:r>
      <w:r w:rsidRPr="000415BD">
        <w:rPr>
          <w:rFonts w:ascii="Palatino Linotype" w:hAnsi="Palatino Linotype"/>
          <w:bCs/>
          <w:sz w:val="22"/>
          <w:szCs w:val="22"/>
        </w:rPr>
        <w:t>/GSS, dan ketebalan lapisan sedi</w:t>
      </w:r>
      <w:r w:rsidR="00C1279B">
        <w:rPr>
          <w:rFonts w:ascii="Palatino Linotype" w:hAnsi="Palatino Linotype"/>
          <w:bCs/>
          <w:sz w:val="22"/>
          <w:szCs w:val="22"/>
        </w:rPr>
        <w:t xml:space="preserve">men. </w:t>
      </w:r>
      <w:r w:rsidRPr="000415BD">
        <w:rPr>
          <w:rFonts w:ascii="Palatino Linotype" w:hAnsi="Palatino Linotype"/>
          <w:bCs/>
          <w:sz w:val="22"/>
          <w:szCs w:val="22"/>
        </w:rPr>
        <w:t>Parameter-parameter fisis tersebut kemudian di-</w:t>
      </w:r>
      <w:r w:rsidRPr="000415BD">
        <w:rPr>
          <w:rFonts w:ascii="Palatino Linotype" w:hAnsi="Palatino Linotype"/>
          <w:bCs/>
          <w:i/>
          <w:sz w:val="22"/>
          <w:szCs w:val="22"/>
        </w:rPr>
        <w:t>overlay</w:t>
      </w:r>
      <w:r w:rsidRPr="000415BD">
        <w:rPr>
          <w:rFonts w:ascii="Palatino Linotype" w:hAnsi="Palatino Linotype"/>
          <w:bCs/>
          <w:sz w:val="22"/>
          <w:szCs w:val="22"/>
        </w:rPr>
        <w:t xml:space="preserve">-kan secara menyeluruh mengggunakan metode pembobotan statistik </w:t>
      </w:r>
      <w:r w:rsidRPr="000415BD">
        <w:rPr>
          <w:rFonts w:ascii="Palatino Linotype" w:hAnsi="Palatino Linotype"/>
          <w:bCs/>
          <w:i/>
          <w:sz w:val="22"/>
          <w:szCs w:val="22"/>
        </w:rPr>
        <w:t>Analytical Hierarchy Process</w:t>
      </w:r>
      <w:r w:rsidRPr="000415BD">
        <w:rPr>
          <w:rFonts w:ascii="Palatino Linotype" w:hAnsi="Palatino Linotype"/>
          <w:bCs/>
          <w:sz w:val="22"/>
          <w:szCs w:val="22"/>
        </w:rPr>
        <w:t xml:space="preserve"> (AHP). Penelitian ini sangat penting dilakukan untuk mendukung mitigasi </w:t>
      </w:r>
      <w:r w:rsidRPr="000415BD">
        <w:rPr>
          <w:rFonts w:ascii="Palatino Linotype" w:hAnsi="Palatino Linotype"/>
          <w:bCs/>
          <w:sz w:val="22"/>
          <w:szCs w:val="22"/>
        </w:rPr>
        <w:t>bencana dalam rangka pengurangan risiko bencana di Kota Bengkulu berdasarkan kajian-kajian yang dilakukan secara komprehensif.</w:t>
      </w:r>
    </w:p>
    <w:p w:rsidR="003401EB" w:rsidRPr="003401EB" w:rsidRDefault="00D90E4E" w:rsidP="00D90E4E">
      <w:pPr>
        <w:ind w:firstLine="450"/>
        <w:jc w:val="both"/>
        <w:rPr>
          <w:rFonts w:ascii="Palatino Linotype" w:hAnsi="Palatino Linotype"/>
          <w:bCs/>
          <w:sz w:val="22"/>
          <w:szCs w:val="22"/>
        </w:rPr>
      </w:pPr>
      <w:r>
        <w:rPr>
          <w:rFonts w:ascii="Palatino Linotype" w:hAnsi="Palatino Linotype"/>
          <w:sz w:val="22"/>
          <w:szCs w:val="22"/>
          <w:lang w:val="en-US"/>
        </w:rPr>
        <w:t>Penelitian ini bertujuan untuk m</w:t>
      </w:r>
      <w:r>
        <w:rPr>
          <w:rFonts w:ascii="Palatino Linotype" w:hAnsi="Palatino Linotype"/>
          <w:bCs/>
          <w:sz w:val="22"/>
          <w:szCs w:val="22"/>
        </w:rPr>
        <w:t xml:space="preserve">engidentifikasi dan memetakan </w:t>
      </w:r>
      <w:r w:rsidR="003401EB" w:rsidRPr="003401EB">
        <w:rPr>
          <w:rFonts w:ascii="Palatino Linotype" w:hAnsi="Palatino Linotype"/>
          <w:bCs/>
          <w:sz w:val="22"/>
          <w:szCs w:val="22"/>
        </w:rPr>
        <w:t xml:space="preserve">daerah-daerah yang berpotensi mengalami ancaman bahaya gempabumi </w:t>
      </w:r>
      <w:r>
        <w:rPr>
          <w:rFonts w:ascii="Palatino Linotype" w:hAnsi="Palatino Linotype"/>
          <w:bCs/>
          <w:sz w:val="22"/>
          <w:szCs w:val="22"/>
          <w:lang w:val="en-US"/>
        </w:rPr>
        <w:t xml:space="preserve">serta menganalisis potensinya </w:t>
      </w:r>
      <w:r w:rsidR="003401EB" w:rsidRPr="003401EB">
        <w:rPr>
          <w:rFonts w:ascii="Palatino Linotype" w:hAnsi="Palatino Linotype"/>
          <w:bCs/>
          <w:sz w:val="22"/>
          <w:szCs w:val="22"/>
        </w:rPr>
        <w:t>berdasarkan parameter fisis batuan di Kota Bengkulu.</w:t>
      </w:r>
    </w:p>
    <w:p w:rsidR="00623AD2" w:rsidRPr="00623AD2" w:rsidRDefault="00790273" w:rsidP="00623AD2">
      <w:pPr>
        <w:ind w:firstLine="450"/>
        <w:jc w:val="both"/>
        <w:rPr>
          <w:rFonts w:ascii="Palatino Linotype" w:hAnsi="Palatino Linotype"/>
          <w:bCs/>
          <w:sz w:val="22"/>
          <w:szCs w:val="22"/>
        </w:rPr>
      </w:pPr>
      <w:r w:rsidRPr="00790273">
        <w:rPr>
          <w:rFonts w:ascii="Palatino Linotype" w:hAnsi="Palatino Linotype"/>
          <w:sz w:val="22"/>
          <w:szCs w:val="22"/>
        </w:rPr>
        <w:t xml:space="preserve">Penelitian yang berkaitan dengan analisis bahaya gempabumi telah dilakukan oleh beberapa peneliti baik di sekitar daerah </w:t>
      </w:r>
      <w:r w:rsidR="007C7E0C">
        <w:rPr>
          <w:rFonts w:ascii="Palatino Linotype" w:hAnsi="Palatino Linotype"/>
          <w:sz w:val="22"/>
          <w:szCs w:val="22"/>
          <w:lang w:val="en-US"/>
        </w:rPr>
        <w:t xml:space="preserve">penelitian </w:t>
      </w:r>
      <w:r w:rsidRPr="00790273">
        <w:rPr>
          <w:rFonts w:ascii="Palatino Linotype" w:hAnsi="Palatino Linotype"/>
          <w:sz w:val="22"/>
          <w:szCs w:val="22"/>
        </w:rPr>
        <w:t xml:space="preserve">maupun di tempat lain. </w:t>
      </w:r>
      <w:r w:rsidR="00623AD2">
        <w:rPr>
          <w:rFonts w:ascii="Palatino Linotype" w:hAnsi="Palatino Linotype"/>
          <w:bCs/>
          <w:sz w:val="22"/>
          <w:szCs w:val="22"/>
          <w:lang w:val="en-US"/>
        </w:rPr>
        <w:t xml:space="preserve">Misalnya </w:t>
      </w:r>
      <w:r w:rsidR="00623AD2" w:rsidRPr="0020303F">
        <w:rPr>
          <w:rFonts w:ascii="Palatino Linotype" w:hAnsi="Palatino Linotype"/>
          <w:sz w:val="22"/>
          <w:szCs w:val="22"/>
        </w:rPr>
        <w:t xml:space="preserve">Nepop </w:t>
      </w:r>
      <w:r w:rsidR="0038796E" w:rsidRPr="0020303F">
        <w:rPr>
          <w:rFonts w:ascii="Palatino Linotype" w:hAnsi="Palatino Linotype"/>
          <w:sz w:val="22"/>
          <w:szCs w:val="22"/>
          <w:lang w:val="en-US"/>
        </w:rPr>
        <w:t>&amp;</w:t>
      </w:r>
      <w:r w:rsidR="00623AD2" w:rsidRPr="0020303F">
        <w:rPr>
          <w:rFonts w:ascii="Palatino Linotype" w:hAnsi="Palatino Linotype"/>
          <w:sz w:val="22"/>
          <w:szCs w:val="22"/>
        </w:rPr>
        <w:t xml:space="preserve"> Agatova (2008) </w:t>
      </w:r>
      <w:r w:rsidR="00623AD2" w:rsidRPr="0020303F">
        <w:rPr>
          <w:rFonts w:ascii="Palatino Linotype" w:hAnsi="Palatino Linotype"/>
          <w:sz w:val="22"/>
          <w:szCs w:val="22"/>
          <w:lang w:val="en-US"/>
        </w:rPr>
        <w:t xml:space="preserve">mengkaji </w:t>
      </w:r>
      <w:r w:rsidR="00623AD2" w:rsidRPr="0020303F">
        <w:rPr>
          <w:rFonts w:ascii="Palatino Linotype" w:hAnsi="Palatino Linotype"/>
          <w:sz w:val="22"/>
          <w:szCs w:val="22"/>
        </w:rPr>
        <w:t xml:space="preserve">hubungan empiris antara besaran gempa dengan volume gerakan tanah </w:t>
      </w:r>
      <w:r w:rsidR="00623AD2" w:rsidRPr="0020303F">
        <w:rPr>
          <w:rFonts w:ascii="Palatino Linotype" w:hAnsi="Palatino Linotype"/>
          <w:sz w:val="22"/>
          <w:szCs w:val="22"/>
          <w:lang w:val="en-US"/>
        </w:rPr>
        <w:t xml:space="preserve">berdasarkan </w:t>
      </w:r>
      <w:r w:rsidR="00623AD2" w:rsidRPr="0020303F">
        <w:rPr>
          <w:rFonts w:ascii="Palatino Linotype" w:hAnsi="Palatino Linotype"/>
          <w:sz w:val="22"/>
          <w:szCs w:val="22"/>
        </w:rPr>
        <w:t xml:space="preserve">gempa Chuya tanggal 27 September 2003. Hasil </w:t>
      </w:r>
      <w:r w:rsidR="00BD4447" w:rsidRPr="0020303F">
        <w:rPr>
          <w:rFonts w:ascii="Palatino Linotype" w:hAnsi="Palatino Linotype"/>
          <w:sz w:val="22"/>
          <w:szCs w:val="22"/>
          <w:lang w:val="en-US"/>
        </w:rPr>
        <w:t xml:space="preserve">kajian ini </w:t>
      </w:r>
      <w:r w:rsidR="00623AD2" w:rsidRPr="0020303F">
        <w:rPr>
          <w:rFonts w:ascii="Palatino Linotype" w:hAnsi="Palatino Linotype"/>
          <w:sz w:val="22"/>
          <w:szCs w:val="22"/>
        </w:rPr>
        <w:t xml:space="preserve">menunjukkan </w:t>
      </w:r>
      <w:r w:rsidR="00BD4447" w:rsidRPr="0020303F">
        <w:rPr>
          <w:rFonts w:ascii="Palatino Linotype" w:hAnsi="Palatino Linotype"/>
          <w:sz w:val="22"/>
          <w:szCs w:val="22"/>
          <w:lang w:val="en-US"/>
        </w:rPr>
        <w:t xml:space="preserve">adanya korelasi </w:t>
      </w:r>
      <w:r w:rsidR="00BD4447" w:rsidRPr="0020303F">
        <w:rPr>
          <w:rFonts w:ascii="Palatino Linotype" w:hAnsi="Palatino Linotype"/>
          <w:sz w:val="22"/>
          <w:szCs w:val="22"/>
        </w:rPr>
        <w:t>besar</w:t>
      </w:r>
      <w:r w:rsidR="00623AD2" w:rsidRPr="0020303F">
        <w:rPr>
          <w:rFonts w:ascii="Palatino Linotype" w:hAnsi="Palatino Linotype"/>
          <w:sz w:val="22"/>
          <w:szCs w:val="22"/>
        </w:rPr>
        <w:t xml:space="preserve"> magnitudo gempa </w:t>
      </w:r>
      <w:r w:rsidR="00BD4447" w:rsidRPr="0020303F">
        <w:rPr>
          <w:rFonts w:ascii="Palatino Linotype" w:hAnsi="Palatino Linotype"/>
          <w:sz w:val="22"/>
          <w:szCs w:val="22"/>
          <w:lang w:val="en-US"/>
        </w:rPr>
        <w:t xml:space="preserve">terhadap besarnya </w:t>
      </w:r>
      <w:r w:rsidR="00623AD2" w:rsidRPr="0020303F">
        <w:rPr>
          <w:rFonts w:ascii="Palatino Linotype" w:hAnsi="Palatino Linotype"/>
          <w:sz w:val="22"/>
          <w:szCs w:val="22"/>
        </w:rPr>
        <w:t xml:space="preserve">volume gerakan tanah. </w:t>
      </w:r>
      <w:r w:rsidR="00BD4447" w:rsidRPr="0020303F">
        <w:rPr>
          <w:rFonts w:ascii="Palatino Linotype" w:hAnsi="Palatino Linotype"/>
          <w:sz w:val="22"/>
          <w:szCs w:val="22"/>
          <w:lang w:val="en-US"/>
        </w:rPr>
        <w:t>Kemudian</w:t>
      </w:r>
      <w:r w:rsidR="00623AD2" w:rsidRPr="0020303F">
        <w:rPr>
          <w:rFonts w:ascii="Palatino Linotype" w:hAnsi="Palatino Linotype"/>
          <w:sz w:val="22"/>
          <w:szCs w:val="22"/>
        </w:rPr>
        <w:t xml:space="preserve"> Gafoer</w:t>
      </w:r>
      <w:r w:rsidR="0038796E" w:rsidRPr="0020303F">
        <w:rPr>
          <w:rFonts w:ascii="Palatino Linotype" w:hAnsi="Palatino Linotype"/>
          <w:sz w:val="22"/>
          <w:szCs w:val="22"/>
          <w:lang w:val="en-US"/>
        </w:rPr>
        <w:t xml:space="preserve">, Amin, </w:t>
      </w:r>
      <w:r w:rsidR="00550A9E" w:rsidRPr="0020303F">
        <w:rPr>
          <w:rFonts w:ascii="Palatino Linotype" w:hAnsi="Palatino Linotype"/>
          <w:sz w:val="22"/>
          <w:szCs w:val="22"/>
          <w:lang w:val="en-US"/>
        </w:rPr>
        <w:t xml:space="preserve">&amp; </w:t>
      </w:r>
      <w:r w:rsidR="0038796E" w:rsidRPr="0020303F">
        <w:rPr>
          <w:rFonts w:ascii="Palatino Linotype" w:hAnsi="Palatino Linotype"/>
          <w:sz w:val="22"/>
          <w:szCs w:val="22"/>
          <w:lang w:val="en-US"/>
        </w:rPr>
        <w:t xml:space="preserve">Pardede </w:t>
      </w:r>
      <w:r w:rsidR="00623AD2" w:rsidRPr="0020303F">
        <w:rPr>
          <w:rFonts w:ascii="Palatino Linotype" w:hAnsi="Palatino Linotype"/>
          <w:sz w:val="22"/>
          <w:szCs w:val="22"/>
        </w:rPr>
        <w:t>(2012), meneliti</w:t>
      </w:r>
      <w:r w:rsidR="00623AD2" w:rsidRPr="00623AD2">
        <w:rPr>
          <w:rFonts w:ascii="Palatino Linotype" w:hAnsi="Palatino Linotype"/>
          <w:sz w:val="22"/>
          <w:szCs w:val="22"/>
        </w:rPr>
        <w:t xml:space="preserve"> keberadaan sesar yang ada di Lembar Bengkulu. Berdasarkan penelitian tersebut Kota Bengkulu merupakan daerah yang dilalui oleh sesar-sesar </w:t>
      </w:r>
      <w:r w:rsidR="00BD4447">
        <w:rPr>
          <w:rFonts w:ascii="Palatino Linotype" w:hAnsi="Palatino Linotype"/>
          <w:sz w:val="22"/>
          <w:szCs w:val="22"/>
          <w:lang w:val="en-US"/>
        </w:rPr>
        <w:t xml:space="preserve">yang diperkirakan </w:t>
      </w:r>
      <w:r w:rsidR="00623AD2" w:rsidRPr="00623AD2">
        <w:rPr>
          <w:rFonts w:ascii="Palatino Linotype" w:hAnsi="Palatino Linotype"/>
          <w:sz w:val="22"/>
          <w:szCs w:val="22"/>
        </w:rPr>
        <w:t xml:space="preserve">di beberapa tempat. </w:t>
      </w:r>
      <w:r w:rsidR="00623AD2" w:rsidRPr="00623AD2">
        <w:rPr>
          <w:rFonts w:ascii="Palatino Linotype" w:hAnsi="Palatino Linotype"/>
          <w:sz w:val="22"/>
          <w:szCs w:val="22"/>
          <w:lang w:val="sv-SE"/>
        </w:rPr>
        <w:t xml:space="preserve">Wilayah-wilayah yang dilewati sesar merupakan daerah yang berpotensi memicu </w:t>
      </w:r>
      <w:r w:rsidR="00BD4447">
        <w:rPr>
          <w:rFonts w:ascii="Palatino Linotype" w:hAnsi="Palatino Linotype"/>
          <w:sz w:val="22"/>
          <w:szCs w:val="22"/>
          <w:lang w:val="sv-SE"/>
        </w:rPr>
        <w:t>deformasi tanah</w:t>
      </w:r>
      <w:r w:rsidR="00623AD2" w:rsidRPr="00623AD2">
        <w:rPr>
          <w:rFonts w:ascii="Palatino Linotype" w:hAnsi="Palatino Linotype"/>
          <w:sz w:val="22"/>
          <w:szCs w:val="22"/>
          <w:lang w:val="sv-SE"/>
        </w:rPr>
        <w:t>.</w:t>
      </w:r>
    </w:p>
    <w:p w:rsidR="00416E74" w:rsidRPr="00416E74" w:rsidRDefault="00416E74" w:rsidP="00416E74">
      <w:pPr>
        <w:ind w:firstLine="450"/>
        <w:jc w:val="both"/>
        <w:rPr>
          <w:rFonts w:ascii="Palatino Linotype" w:hAnsi="Palatino Linotype"/>
          <w:bCs/>
          <w:sz w:val="22"/>
          <w:szCs w:val="22"/>
        </w:rPr>
      </w:pPr>
      <w:r w:rsidRPr="0020303F">
        <w:rPr>
          <w:rFonts w:ascii="Palatino Linotype" w:hAnsi="Palatino Linotype"/>
          <w:sz w:val="22"/>
          <w:szCs w:val="22"/>
          <w:lang w:val="sv-SE"/>
        </w:rPr>
        <w:t>Petersen et al. (2004), Irsyam et al.</w:t>
      </w:r>
      <w:r w:rsidRPr="0020303F">
        <w:rPr>
          <w:rFonts w:ascii="Palatino Linotype" w:hAnsi="Palatino Linotype"/>
          <w:bCs/>
          <w:sz w:val="22"/>
          <w:szCs w:val="22"/>
        </w:rPr>
        <w:t xml:space="preserve"> (2010)</w:t>
      </w:r>
      <w:r w:rsidRPr="0020303F">
        <w:rPr>
          <w:rFonts w:ascii="Palatino Linotype" w:hAnsi="Palatino Linotype"/>
          <w:bCs/>
          <w:sz w:val="22"/>
          <w:szCs w:val="22"/>
          <w:lang w:val="en-US"/>
        </w:rPr>
        <w:t xml:space="preserve">, </w:t>
      </w:r>
      <w:r w:rsidRPr="0020303F">
        <w:rPr>
          <w:rFonts w:ascii="Palatino Linotype" w:hAnsi="Palatino Linotype"/>
          <w:bCs/>
          <w:sz w:val="22"/>
          <w:szCs w:val="22"/>
        </w:rPr>
        <w:t>Hadi</w:t>
      </w:r>
      <w:r w:rsidR="00550A9E" w:rsidRPr="0020303F">
        <w:rPr>
          <w:rFonts w:ascii="Palatino Linotype" w:hAnsi="Palatino Linotype"/>
          <w:bCs/>
          <w:sz w:val="22"/>
          <w:szCs w:val="22"/>
        </w:rPr>
        <w:t>, Farid, &amp; Fauzi</w:t>
      </w:r>
      <w:r w:rsidR="00550A9E" w:rsidRPr="0020303F">
        <w:rPr>
          <w:rFonts w:ascii="Palatino Linotype" w:hAnsi="Palatino Linotype"/>
          <w:bCs/>
          <w:sz w:val="22"/>
          <w:szCs w:val="22"/>
          <w:lang w:val="en-US"/>
        </w:rPr>
        <w:t xml:space="preserve"> </w:t>
      </w:r>
      <w:r w:rsidRPr="0020303F">
        <w:rPr>
          <w:rFonts w:ascii="Palatino Linotype" w:hAnsi="Palatino Linotype"/>
          <w:bCs/>
          <w:sz w:val="22"/>
          <w:szCs w:val="22"/>
        </w:rPr>
        <w:t xml:space="preserve">(2012), dan Hadi </w:t>
      </w:r>
      <w:r w:rsidR="00F237D2" w:rsidRPr="0020303F">
        <w:rPr>
          <w:rFonts w:ascii="Palatino Linotype" w:hAnsi="Palatino Linotype"/>
          <w:bCs/>
          <w:sz w:val="22"/>
          <w:szCs w:val="22"/>
          <w:lang w:val="en-US"/>
        </w:rPr>
        <w:t>&amp;</w:t>
      </w:r>
      <w:r w:rsidRPr="0020303F">
        <w:rPr>
          <w:rFonts w:ascii="Palatino Linotype" w:hAnsi="Palatino Linotype"/>
          <w:bCs/>
          <w:sz w:val="22"/>
          <w:szCs w:val="22"/>
        </w:rPr>
        <w:t xml:space="preserve"> Brotopuspito (2015) </w:t>
      </w:r>
      <w:r w:rsidRPr="0020303F">
        <w:rPr>
          <w:rFonts w:ascii="Palatino Linotype" w:hAnsi="Palatino Linotype"/>
          <w:sz w:val="22"/>
          <w:szCs w:val="22"/>
          <w:lang w:val="sv-SE"/>
        </w:rPr>
        <w:t>melakukan kajian percepatan getaran tanah</w:t>
      </w:r>
      <w:r w:rsidRPr="00416E74">
        <w:rPr>
          <w:rFonts w:ascii="Palatino Linotype" w:hAnsi="Palatino Linotype"/>
          <w:sz w:val="22"/>
          <w:szCs w:val="22"/>
          <w:lang w:val="sv-SE"/>
        </w:rPr>
        <w:t xml:space="preserve"> maksimum (PGA) </w:t>
      </w:r>
      <w:r>
        <w:rPr>
          <w:rFonts w:ascii="Palatino Linotype" w:hAnsi="Palatino Linotype"/>
          <w:sz w:val="22"/>
          <w:szCs w:val="22"/>
          <w:lang w:val="sv-SE"/>
        </w:rPr>
        <w:t xml:space="preserve">batuan dasar </w:t>
      </w:r>
      <w:r w:rsidRPr="00416E74">
        <w:rPr>
          <w:rFonts w:ascii="Palatino Linotype" w:hAnsi="Palatino Linotype"/>
          <w:sz w:val="22"/>
          <w:szCs w:val="22"/>
          <w:lang w:val="sv-SE"/>
        </w:rPr>
        <w:t xml:space="preserve">di wilayah </w:t>
      </w:r>
      <w:r>
        <w:rPr>
          <w:rFonts w:ascii="Palatino Linotype" w:hAnsi="Palatino Linotype"/>
          <w:sz w:val="22"/>
          <w:szCs w:val="22"/>
          <w:lang w:val="sv-SE"/>
        </w:rPr>
        <w:t xml:space="preserve">studi. </w:t>
      </w:r>
      <w:r w:rsidRPr="00416E74">
        <w:rPr>
          <w:rFonts w:ascii="Palatino Linotype" w:hAnsi="Palatino Linotype"/>
          <w:sz w:val="22"/>
          <w:szCs w:val="22"/>
          <w:lang w:val="sv-SE"/>
        </w:rPr>
        <w:t>Hasil studi menunjukkan bahwa n</w:t>
      </w:r>
      <w:r w:rsidRPr="00416E74">
        <w:rPr>
          <w:rFonts w:ascii="Palatino Linotype" w:hAnsi="Palatino Linotype"/>
          <w:sz w:val="22"/>
          <w:szCs w:val="22"/>
        </w:rPr>
        <w:t xml:space="preserve">ilai PGA </w:t>
      </w:r>
      <w:r w:rsidRPr="00416E74">
        <w:rPr>
          <w:rFonts w:ascii="Palatino Linotype" w:hAnsi="Palatino Linotype"/>
          <w:sz w:val="22"/>
          <w:szCs w:val="22"/>
          <w:lang w:val="sv-SE"/>
        </w:rPr>
        <w:t xml:space="preserve">di </w:t>
      </w:r>
      <w:r w:rsidRPr="00416E74">
        <w:rPr>
          <w:rFonts w:ascii="Palatino Linotype" w:hAnsi="Palatino Linotype"/>
          <w:sz w:val="22"/>
          <w:szCs w:val="22"/>
        </w:rPr>
        <w:t xml:space="preserve">Kota Bengkulu adalah </w:t>
      </w:r>
      <w:r>
        <w:rPr>
          <w:rFonts w:ascii="Palatino Linotype" w:hAnsi="Palatino Linotype"/>
          <w:sz w:val="22"/>
          <w:szCs w:val="22"/>
          <w:lang w:val="sv-SE"/>
        </w:rPr>
        <w:t xml:space="preserve">antara 0,25 g - </w:t>
      </w:r>
      <w:r w:rsidRPr="00416E74">
        <w:rPr>
          <w:rFonts w:ascii="Palatino Linotype" w:hAnsi="Palatino Linotype"/>
          <w:sz w:val="22"/>
          <w:szCs w:val="22"/>
        </w:rPr>
        <w:t>0,4 g</w:t>
      </w:r>
      <w:r>
        <w:rPr>
          <w:rFonts w:ascii="Palatino Linotype" w:hAnsi="Palatino Linotype"/>
          <w:sz w:val="22"/>
          <w:szCs w:val="22"/>
          <w:lang w:val="en-US"/>
        </w:rPr>
        <w:t xml:space="preserve">. </w:t>
      </w:r>
      <w:r w:rsidRPr="00416E74">
        <w:rPr>
          <w:rFonts w:ascii="Palatino Linotype" w:hAnsi="Palatino Linotype"/>
          <w:bCs/>
          <w:sz w:val="22"/>
          <w:szCs w:val="22"/>
        </w:rPr>
        <w:t xml:space="preserve">Daerah yang mempunyai nilai PGA tinggi berisiko </w:t>
      </w:r>
      <w:r w:rsidRPr="00416E74">
        <w:rPr>
          <w:rFonts w:ascii="Palatino Linotype" w:hAnsi="Palatino Linotype"/>
          <w:bCs/>
          <w:sz w:val="22"/>
          <w:szCs w:val="22"/>
        </w:rPr>
        <w:lastRenderedPageBreak/>
        <w:t xml:space="preserve">besar terhadap ancaman bahaya gempa dan pergerakan tanah. </w:t>
      </w:r>
    </w:p>
    <w:p w:rsidR="00416E74" w:rsidRPr="00416E74" w:rsidRDefault="00416E74" w:rsidP="000F6C91">
      <w:pPr>
        <w:ind w:firstLine="450"/>
        <w:jc w:val="both"/>
        <w:rPr>
          <w:rFonts w:ascii="Palatino Linotype" w:hAnsi="Palatino Linotype"/>
          <w:sz w:val="22"/>
          <w:szCs w:val="22"/>
          <w:lang w:val="sv-SE"/>
        </w:rPr>
      </w:pPr>
      <w:r w:rsidRPr="00CF0645">
        <w:rPr>
          <w:rFonts w:ascii="Palatino Linotype" w:hAnsi="Palatino Linotype"/>
          <w:sz w:val="22"/>
          <w:szCs w:val="22"/>
        </w:rPr>
        <w:t>Hadi</w:t>
      </w:r>
      <w:r w:rsidR="00F237D2" w:rsidRPr="00CF0645">
        <w:rPr>
          <w:rFonts w:ascii="Palatino Linotype" w:hAnsi="Palatino Linotype"/>
          <w:sz w:val="22"/>
          <w:szCs w:val="22"/>
          <w:lang w:val="en-US"/>
        </w:rPr>
        <w:t xml:space="preserve">, Suhendra, &amp; Efriyadi </w:t>
      </w:r>
      <w:r w:rsidRPr="00CF0645">
        <w:rPr>
          <w:rFonts w:ascii="Palatino Linotype" w:hAnsi="Palatino Linotype"/>
          <w:sz w:val="22"/>
          <w:szCs w:val="22"/>
        </w:rPr>
        <w:t xml:space="preserve">(2010) meneliti sebaran gempabumi di wilayah Provinsi Bengkulu. </w:t>
      </w:r>
      <w:r w:rsidR="00066EF4" w:rsidRPr="00CF0645">
        <w:rPr>
          <w:rFonts w:ascii="Palatino Linotype" w:hAnsi="Palatino Linotype"/>
          <w:sz w:val="22"/>
          <w:szCs w:val="22"/>
          <w:lang w:val="en-US"/>
        </w:rPr>
        <w:t xml:space="preserve">Berdasarkan </w:t>
      </w:r>
      <w:r w:rsidRPr="00CF0645">
        <w:rPr>
          <w:rFonts w:ascii="Palatino Linotype" w:hAnsi="Palatino Linotype"/>
          <w:sz w:val="22"/>
          <w:szCs w:val="22"/>
        </w:rPr>
        <w:t xml:space="preserve">data katalog gempa BMKG antara </w:t>
      </w:r>
      <w:r w:rsidRPr="00CF0645">
        <w:rPr>
          <w:rFonts w:ascii="Palatino Linotype" w:hAnsi="Palatino Linotype"/>
          <w:iCs/>
          <w:sz w:val="22"/>
          <w:szCs w:val="22"/>
        </w:rPr>
        <w:t>Januari 2005 hingga Maret 2009</w:t>
      </w:r>
      <w:r w:rsidR="00066EF4" w:rsidRPr="00CF0645">
        <w:rPr>
          <w:rFonts w:ascii="Palatino Linotype" w:hAnsi="Palatino Linotype"/>
          <w:iCs/>
          <w:sz w:val="22"/>
          <w:szCs w:val="22"/>
          <w:lang w:val="en-US"/>
        </w:rPr>
        <w:t xml:space="preserve"> </w:t>
      </w:r>
      <w:r w:rsidRPr="00CF0645">
        <w:rPr>
          <w:rFonts w:ascii="Palatino Linotype" w:hAnsi="Palatino Linotype"/>
          <w:iCs/>
          <w:sz w:val="22"/>
          <w:szCs w:val="22"/>
        </w:rPr>
        <w:t xml:space="preserve">menunjukkan bahwa </w:t>
      </w:r>
      <w:r w:rsidRPr="00CF0645">
        <w:rPr>
          <w:rFonts w:ascii="Palatino Linotype" w:hAnsi="Palatino Linotype"/>
          <w:sz w:val="22"/>
          <w:szCs w:val="22"/>
        </w:rPr>
        <w:t>gempa yang berpusat di laut (Samudra Hindia) sebanyak 133 kali gempa atau 85,80% dan sisanya 22 kal</w:t>
      </w:r>
      <w:r w:rsidR="000F6C91" w:rsidRPr="00CF0645">
        <w:rPr>
          <w:rFonts w:ascii="Palatino Linotype" w:hAnsi="Palatino Linotype"/>
          <w:sz w:val="22"/>
          <w:szCs w:val="22"/>
        </w:rPr>
        <w:t xml:space="preserve">i atau 14,0% terjadi di daratan. </w:t>
      </w:r>
      <w:r w:rsidR="000F6C91" w:rsidRPr="00CF0645">
        <w:rPr>
          <w:rFonts w:ascii="Palatino Linotype" w:hAnsi="Palatino Linotype"/>
          <w:sz w:val="22"/>
          <w:szCs w:val="22"/>
          <w:lang w:val="en-US"/>
        </w:rPr>
        <w:t>S</w:t>
      </w:r>
      <w:r w:rsidR="000F6C91" w:rsidRPr="00CF0645">
        <w:rPr>
          <w:rFonts w:ascii="Palatino Linotype" w:hAnsi="Palatino Linotype"/>
          <w:sz w:val="22"/>
          <w:szCs w:val="22"/>
        </w:rPr>
        <w:t xml:space="preserve">ementara </w:t>
      </w:r>
      <w:r w:rsidR="000F6C91" w:rsidRPr="00CF0645">
        <w:rPr>
          <w:rFonts w:ascii="Palatino Linotype" w:hAnsi="Palatino Linotype"/>
          <w:sz w:val="22"/>
          <w:szCs w:val="22"/>
          <w:lang w:val="en-US"/>
        </w:rPr>
        <w:t xml:space="preserve">dari </w:t>
      </w:r>
      <w:r w:rsidR="000F6C91" w:rsidRPr="00CF0645">
        <w:rPr>
          <w:rFonts w:ascii="Palatino Linotype" w:hAnsi="Palatino Linotype"/>
          <w:sz w:val="22"/>
          <w:szCs w:val="22"/>
          <w:lang w:val="sv-SE"/>
        </w:rPr>
        <w:t xml:space="preserve">katalog gempa USGS dan ISC tahun 1971 – 2011 menunjukkan bahwa </w:t>
      </w:r>
      <w:r w:rsidR="000F6C91" w:rsidRPr="00CF0645">
        <w:rPr>
          <w:rFonts w:ascii="Palatino Linotype" w:hAnsi="Palatino Linotype"/>
          <w:sz w:val="22"/>
          <w:szCs w:val="22"/>
        </w:rPr>
        <w:t xml:space="preserve">frekuensi kejadian gempabumi dengan </w:t>
      </w:r>
      <w:r w:rsidR="000F6C91" w:rsidRPr="00CF0645">
        <w:rPr>
          <w:rFonts w:ascii="Palatino Linotype" w:hAnsi="Palatino Linotype"/>
          <w:i/>
          <w:sz w:val="22"/>
          <w:szCs w:val="22"/>
          <w:lang w:val="sv-SE"/>
        </w:rPr>
        <w:t>M</w:t>
      </w:r>
      <w:r w:rsidR="000F6C91" w:rsidRPr="00CF0645">
        <w:rPr>
          <w:rFonts w:ascii="Palatino Linotype" w:hAnsi="Palatino Linotype"/>
          <w:i/>
          <w:sz w:val="22"/>
          <w:szCs w:val="22"/>
          <w:vertAlign w:val="subscript"/>
          <w:lang w:val="sv-SE"/>
        </w:rPr>
        <w:t>w</w:t>
      </w:r>
      <w:r w:rsidR="000F6C91" w:rsidRPr="00CF0645">
        <w:rPr>
          <w:rFonts w:ascii="Palatino Linotype" w:hAnsi="Palatino Linotype"/>
          <w:sz w:val="22"/>
          <w:szCs w:val="22"/>
          <w:vertAlign w:val="subscript"/>
          <w:lang w:val="sv-SE"/>
        </w:rPr>
        <w:t xml:space="preserve"> </w:t>
      </w:r>
      <w:proofErr w:type="gramStart"/>
      <w:r w:rsidR="000F6C91" w:rsidRPr="00CF0645">
        <w:rPr>
          <w:rFonts w:ascii="Palatino Linotype" w:hAnsi="Palatino Linotype"/>
          <w:sz w:val="22"/>
          <w:szCs w:val="22"/>
          <w:lang w:val="sv-SE"/>
        </w:rPr>
        <w:t>antara</w:t>
      </w:r>
      <w:r w:rsidR="000F6C91" w:rsidRPr="00CF0645">
        <w:rPr>
          <w:rFonts w:ascii="Palatino Linotype" w:hAnsi="Palatino Linotype"/>
          <w:sz w:val="22"/>
          <w:szCs w:val="22"/>
          <w:vertAlign w:val="subscript"/>
          <w:lang w:val="sv-SE"/>
        </w:rPr>
        <w:t xml:space="preserve">  </w:t>
      </w:r>
      <w:r w:rsidR="000F6C91" w:rsidRPr="00CF0645">
        <w:rPr>
          <w:rFonts w:ascii="Palatino Linotype" w:hAnsi="Palatino Linotype"/>
          <w:sz w:val="22"/>
          <w:szCs w:val="22"/>
        </w:rPr>
        <w:t>5,0</w:t>
      </w:r>
      <w:proofErr w:type="gramEnd"/>
      <w:r w:rsidR="000F6C91" w:rsidRPr="00CF0645">
        <w:rPr>
          <w:rFonts w:ascii="Palatino Linotype" w:hAnsi="Palatino Linotype"/>
          <w:sz w:val="22"/>
          <w:szCs w:val="22"/>
        </w:rPr>
        <w:t xml:space="preserve"> - 6,0 sering terjadi di Provinsi Bengkulu termasuk di Kota Bengkulu </w:t>
      </w:r>
      <w:r w:rsidR="000F6C91" w:rsidRPr="00CF0645">
        <w:rPr>
          <w:rFonts w:ascii="Palatino Linotype" w:hAnsi="Palatino Linotype"/>
          <w:sz w:val="22"/>
          <w:szCs w:val="22"/>
          <w:lang w:val="en-US"/>
        </w:rPr>
        <w:t>(</w:t>
      </w:r>
      <w:r w:rsidR="000F6C91" w:rsidRPr="00CF0645">
        <w:rPr>
          <w:rFonts w:ascii="Palatino Linotype" w:hAnsi="Palatino Linotype"/>
          <w:sz w:val="22"/>
          <w:szCs w:val="22"/>
          <w:lang w:val="sv-SE"/>
        </w:rPr>
        <w:t>Hadi</w:t>
      </w:r>
      <w:r w:rsidR="003E4DD7" w:rsidRPr="00CF0645">
        <w:rPr>
          <w:rFonts w:ascii="Palatino Linotype" w:hAnsi="Palatino Linotype"/>
          <w:sz w:val="22"/>
          <w:szCs w:val="22"/>
          <w:lang w:val="sv-SE"/>
        </w:rPr>
        <w:t>, Suhendra, &amp; Manik</w:t>
      </w:r>
      <w:r w:rsidR="000F6C91" w:rsidRPr="00CF0645">
        <w:rPr>
          <w:rFonts w:ascii="Palatino Linotype" w:hAnsi="Palatino Linotype"/>
          <w:sz w:val="22"/>
          <w:szCs w:val="22"/>
          <w:lang w:val="sv-SE"/>
        </w:rPr>
        <w:t xml:space="preserve">, 2013). </w:t>
      </w:r>
      <w:r w:rsidRPr="00416E74">
        <w:rPr>
          <w:rFonts w:ascii="Palatino Linotype" w:hAnsi="Palatino Linotype"/>
          <w:sz w:val="22"/>
          <w:szCs w:val="22"/>
        </w:rPr>
        <w:t xml:space="preserve">Hal ini menunjukkan tingkat keaktifan kegempaan yang tinggi di sekitar Kota Bengkulu. </w:t>
      </w:r>
    </w:p>
    <w:p w:rsidR="00416E74" w:rsidRPr="00532319" w:rsidRDefault="00416E74" w:rsidP="00416E74">
      <w:pPr>
        <w:ind w:firstLine="450"/>
        <w:jc w:val="both"/>
        <w:rPr>
          <w:rFonts w:ascii="Palatino Linotype" w:hAnsi="Palatino Linotype"/>
          <w:sz w:val="22"/>
          <w:szCs w:val="22"/>
          <w:lang w:val="en-US"/>
        </w:rPr>
      </w:pPr>
      <w:r w:rsidRPr="00416E74">
        <w:rPr>
          <w:rFonts w:ascii="Palatino Linotype" w:hAnsi="Palatino Linotype"/>
          <w:sz w:val="22"/>
          <w:szCs w:val="22"/>
        </w:rPr>
        <w:t>Potensi ancaman bahaya gempa</w:t>
      </w:r>
      <w:r w:rsidR="009066F2">
        <w:rPr>
          <w:rFonts w:ascii="Palatino Linotype" w:hAnsi="Palatino Linotype"/>
          <w:sz w:val="22"/>
          <w:szCs w:val="22"/>
          <w:lang w:val="en-US"/>
        </w:rPr>
        <w:t>bumi</w:t>
      </w:r>
      <w:r w:rsidRPr="00416E74">
        <w:rPr>
          <w:rFonts w:ascii="Palatino Linotype" w:hAnsi="Palatino Linotype"/>
          <w:sz w:val="22"/>
          <w:szCs w:val="22"/>
        </w:rPr>
        <w:t xml:space="preserve"> dapat dipengaruhi oleh kondisi geologi setempat (</w:t>
      </w:r>
      <w:r w:rsidRPr="00416E74">
        <w:rPr>
          <w:rFonts w:ascii="Palatino Linotype" w:hAnsi="Palatino Linotype"/>
          <w:i/>
          <w:sz w:val="22"/>
          <w:szCs w:val="22"/>
        </w:rPr>
        <w:t>local site effect</w:t>
      </w:r>
      <w:r w:rsidRPr="00416E74">
        <w:rPr>
          <w:rFonts w:ascii="Palatino Linotype" w:hAnsi="Palatino Linotype"/>
          <w:sz w:val="22"/>
          <w:szCs w:val="22"/>
        </w:rPr>
        <w:t>). Contoh kejadian ini dapat dilihat pada peristiwa gempa di Michoacan, Mexico tanggal 19 September 1985 (</w:t>
      </w:r>
      <w:r w:rsidRPr="00416E74">
        <w:rPr>
          <w:rFonts w:ascii="Palatino Linotype" w:hAnsi="Palatino Linotype"/>
          <w:i/>
          <w:sz w:val="22"/>
          <w:szCs w:val="22"/>
        </w:rPr>
        <w:t>M</w:t>
      </w:r>
      <w:r w:rsidR="009066F2">
        <w:rPr>
          <w:rFonts w:ascii="Palatino Linotype" w:hAnsi="Palatino Linotype"/>
          <w:sz w:val="22"/>
          <w:szCs w:val="22"/>
        </w:rPr>
        <w:t xml:space="preserve"> = 8,1) dan </w:t>
      </w:r>
      <w:r w:rsidR="009066F2">
        <w:rPr>
          <w:rFonts w:ascii="Palatino Linotype" w:hAnsi="Palatino Linotype"/>
          <w:sz w:val="22"/>
          <w:szCs w:val="22"/>
          <w:lang w:val="en-US"/>
        </w:rPr>
        <w:t xml:space="preserve">gempa Jogja tanggal </w:t>
      </w:r>
      <w:r w:rsidR="009066F2" w:rsidRPr="00416E74">
        <w:rPr>
          <w:rFonts w:ascii="Palatino Linotype" w:hAnsi="Palatino Linotype"/>
          <w:sz w:val="22"/>
          <w:szCs w:val="22"/>
        </w:rPr>
        <w:t>27 Mei 2006 (</w:t>
      </w:r>
      <w:r w:rsidR="009066F2" w:rsidRPr="00416E74">
        <w:rPr>
          <w:rFonts w:ascii="Palatino Linotype" w:hAnsi="Palatino Linotype"/>
          <w:i/>
          <w:sz w:val="22"/>
          <w:szCs w:val="22"/>
        </w:rPr>
        <w:t>M</w:t>
      </w:r>
      <w:r w:rsidR="009066F2" w:rsidRPr="00416E74">
        <w:rPr>
          <w:rFonts w:ascii="Palatino Linotype" w:hAnsi="Palatino Linotype"/>
          <w:i/>
          <w:sz w:val="22"/>
          <w:szCs w:val="22"/>
          <w:vertAlign w:val="subscript"/>
        </w:rPr>
        <w:t>w</w:t>
      </w:r>
      <w:r w:rsidR="009066F2" w:rsidRPr="00416E74">
        <w:rPr>
          <w:rFonts w:ascii="Palatino Linotype" w:hAnsi="Palatino Linotype"/>
          <w:sz w:val="22"/>
          <w:szCs w:val="22"/>
        </w:rPr>
        <w:t xml:space="preserve"> = 6,3)</w:t>
      </w:r>
      <w:r w:rsidR="009066F2">
        <w:rPr>
          <w:rFonts w:ascii="Palatino Linotype" w:hAnsi="Palatino Linotype"/>
          <w:sz w:val="22"/>
          <w:szCs w:val="22"/>
          <w:lang w:val="en-US"/>
        </w:rPr>
        <w:t>. K</w:t>
      </w:r>
      <w:r w:rsidRPr="00416E74">
        <w:rPr>
          <w:rFonts w:ascii="Palatino Linotype" w:hAnsi="Palatino Linotype"/>
          <w:sz w:val="22"/>
          <w:szCs w:val="22"/>
        </w:rPr>
        <w:t>erusakan akibat gempa</w:t>
      </w:r>
      <w:r w:rsidR="009066F2">
        <w:rPr>
          <w:rFonts w:ascii="Palatino Linotype" w:hAnsi="Palatino Linotype"/>
          <w:sz w:val="22"/>
          <w:szCs w:val="22"/>
          <w:lang w:val="en-US"/>
        </w:rPr>
        <w:t>bumi</w:t>
      </w:r>
      <w:r w:rsidRPr="00416E74">
        <w:rPr>
          <w:rFonts w:ascii="Palatino Linotype" w:hAnsi="Palatino Linotype"/>
          <w:sz w:val="22"/>
          <w:szCs w:val="22"/>
        </w:rPr>
        <w:t xml:space="preserve"> bukan hanya ditentukan oleh jarak sum</w:t>
      </w:r>
      <w:r w:rsidR="009066F2">
        <w:rPr>
          <w:rFonts w:ascii="Palatino Linotype" w:hAnsi="Palatino Linotype"/>
          <w:sz w:val="22"/>
          <w:szCs w:val="22"/>
        </w:rPr>
        <w:t>ber gempa dan besarnya magnitud</w:t>
      </w:r>
      <w:r w:rsidR="009066F2">
        <w:rPr>
          <w:rFonts w:ascii="Palatino Linotype" w:hAnsi="Palatino Linotype"/>
          <w:sz w:val="22"/>
          <w:szCs w:val="22"/>
          <w:lang w:val="en-US"/>
        </w:rPr>
        <w:t>o</w:t>
      </w:r>
      <w:r w:rsidR="009066F2">
        <w:rPr>
          <w:rFonts w:ascii="Palatino Linotype" w:hAnsi="Palatino Linotype"/>
          <w:sz w:val="22"/>
          <w:szCs w:val="22"/>
        </w:rPr>
        <w:t>, tetapi ditentukan juga oleh</w:t>
      </w:r>
      <w:r w:rsidR="009066F2">
        <w:rPr>
          <w:rFonts w:ascii="Palatino Linotype" w:hAnsi="Palatino Linotype"/>
          <w:sz w:val="22"/>
          <w:szCs w:val="22"/>
          <w:lang w:val="en-US"/>
        </w:rPr>
        <w:t xml:space="preserve"> </w:t>
      </w:r>
      <w:r w:rsidR="009066F2" w:rsidRPr="00416E74">
        <w:rPr>
          <w:rFonts w:ascii="Palatino Linotype" w:hAnsi="Palatino Linotype"/>
          <w:i/>
          <w:sz w:val="22"/>
          <w:szCs w:val="22"/>
        </w:rPr>
        <w:t>local site effect</w:t>
      </w:r>
      <w:r w:rsidRPr="00416E74">
        <w:rPr>
          <w:rFonts w:ascii="Palatino Linotype" w:hAnsi="Palatino Linotype"/>
          <w:sz w:val="22"/>
          <w:szCs w:val="22"/>
        </w:rPr>
        <w:t>. Kota Meksiko yang</w:t>
      </w:r>
      <w:r w:rsidR="00733A59">
        <w:rPr>
          <w:rFonts w:ascii="Palatino Linotype" w:hAnsi="Palatino Linotype"/>
          <w:sz w:val="22"/>
          <w:szCs w:val="22"/>
        </w:rPr>
        <w:t xml:space="preserve"> jaraknya 350 km dari episenter </w:t>
      </w:r>
      <w:r w:rsidRPr="00416E74">
        <w:rPr>
          <w:rFonts w:ascii="Palatino Linotype" w:hAnsi="Palatino Linotype"/>
          <w:sz w:val="22"/>
          <w:szCs w:val="22"/>
        </w:rPr>
        <w:t>gempa mengalami kerusakan yang paling parah daripada daerah yang lebih dekat dari sumber gempa. Faktor ini disebabkan daerah dekat sumber gempa kondisi batuannya lebih keras. Pada daerah yang mengalami kerusakan yang paling parah tersebut mempunyai nilai amplifikasi lebih besar</w:t>
      </w:r>
      <w:r w:rsidR="009066F2">
        <w:rPr>
          <w:rFonts w:ascii="Palatino Linotype" w:hAnsi="Palatino Linotype"/>
          <w:sz w:val="22"/>
          <w:szCs w:val="22"/>
          <w:lang w:val="en-US"/>
        </w:rPr>
        <w:t xml:space="preserve"> </w:t>
      </w:r>
      <w:r w:rsidR="009066F2" w:rsidRPr="00CF0645">
        <w:rPr>
          <w:rFonts w:ascii="Palatino Linotype" w:hAnsi="Palatino Linotype"/>
          <w:sz w:val="22"/>
          <w:szCs w:val="22"/>
          <w:lang w:val="en-US"/>
        </w:rPr>
        <w:t>(</w:t>
      </w:r>
      <w:r w:rsidR="009066F2" w:rsidRPr="00CF0645">
        <w:rPr>
          <w:rFonts w:ascii="Palatino Linotype" w:hAnsi="Palatino Linotype"/>
          <w:sz w:val="22"/>
          <w:szCs w:val="22"/>
        </w:rPr>
        <w:t>Anderson et al., 1986)</w:t>
      </w:r>
      <w:r w:rsidRPr="00CF0645">
        <w:rPr>
          <w:rFonts w:ascii="Palatino Linotype" w:hAnsi="Palatino Linotype"/>
          <w:sz w:val="22"/>
          <w:szCs w:val="22"/>
        </w:rPr>
        <w:t xml:space="preserve">. </w:t>
      </w:r>
      <w:r w:rsidR="009066F2" w:rsidRPr="00CF0645">
        <w:rPr>
          <w:rFonts w:ascii="Palatino Linotype" w:hAnsi="Palatino Linotype"/>
          <w:sz w:val="22"/>
          <w:szCs w:val="22"/>
          <w:lang w:val="en-US"/>
        </w:rPr>
        <w:t xml:space="preserve">Sementara itu pada kejadian gempa Jogja, </w:t>
      </w:r>
      <w:r w:rsidRPr="00CF0645">
        <w:rPr>
          <w:rFonts w:ascii="Palatino Linotype" w:hAnsi="Palatino Linotype"/>
          <w:sz w:val="22"/>
          <w:szCs w:val="22"/>
        </w:rPr>
        <w:t xml:space="preserve">lokasi dekat sumber gempa (sesar Opak) tidak mengalami kerusakan signifikan dan sebaliknya pada lokasi yang jauh &gt; 15 km mengalami kerusakan </w:t>
      </w:r>
      <w:r w:rsidR="009066F2" w:rsidRPr="00CF0645">
        <w:rPr>
          <w:rFonts w:ascii="Palatino Linotype" w:hAnsi="Palatino Linotype"/>
          <w:sz w:val="22"/>
          <w:szCs w:val="22"/>
          <w:lang w:val="en-US"/>
        </w:rPr>
        <w:t xml:space="preserve">cukup </w:t>
      </w:r>
      <w:r w:rsidRPr="00CF0645">
        <w:rPr>
          <w:rFonts w:ascii="Palatino Linotype" w:hAnsi="Palatino Linotype"/>
          <w:sz w:val="22"/>
          <w:szCs w:val="22"/>
        </w:rPr>
        <w:t xml:space="preserve">parah. Daerah yang mengalami kerusakan </w:t>
      </w:r>
      <w:r w:rsidR="009066F2" w:rsidRPr="00CF0645">
        <w:rPr>
          <w:rFonts w:ascii="Palatino Linotype" w:hAnsi="Palatino Linotype"/>
          <w:sz w:val="22"/>
          <w:szCs w:val="22"/>
          <w:lang w:val="en-US"/>
        </w:rPr>
        <w:t xml:space="preserve">cukup </w:t>
      </w:r>
      <w:r w:rsidRPr="00CF0645">
        <w:rPr>
          <w:rFonts w:ascii="Palatino Linotype" w:hAnsi="Palatino Linotype"/>
          <w:sz w:val="22"/>
          <w:szCs w:val="22"/>
        </w:rPr>
        <w:t xml:space="preserve">parah ini </w:t>
      </w:r>
      <w:r w:rsidR="009066F2" w:rsidRPr="00CF0645">
        <w:rPr>
          <w:rFonts w:ascii="Palatino Linotype" w:hAnsi="Palatino Linotype"/>
          <w:sz w:val="22"/>
          <w:szCs w:val="22"/>
          <w:lang w:val="en-US"/>
        </w:rPr>
        <w:t xml:space="preserve">ternyata </w:t>
      </w:r>
      <w:r w:rsidRPr="00CF0645">
        <w:rPr>
          <w:rFonts w:ascii="Palatino Linotype" w:hAnsi="Palatino Linotype"/>
          <w:sz w:val="22"/>
          <w:szCs w:val="22"/>
        </w:rPr>
        <w:t xml:space="preserve">merupakan zona graben yang tertimbun oleh sedimen lunak, sehingga mengalami tingkat kerusakan yang lebih besar daripada daerah lain. </w:t>
      </w:r>
      <w:r w:rsidR="00532319" w:rsidRPr="00CF0645">
        <w:rPr>
          <w:rFonts w:ascii="Palatino Linotype" w:hAnsi="Palatino Linotype"/>
          <w:sz w:val="22"/>
          <w:szCs w:val="22"/>
          <w:lang w:val="en-US"/>
        </w:rPr>
        <w:t xml:space="preserve">Tingkat kerusakan ini berkaitan dengan </w:t>
      </w:r>
      <w:r w:rsidRPr="00CF0645">
        <w:rPr>
          <w:rFonts w:ascii="Palatino Linotype" w:hAnsi="Palatino Linotype"/>
          <w:sz w:val="22"/>
          <w:szCs w:val="22"/>
        </w:rPr>
        <w:t xml:space="preserve">nilai GSS </w:t>
      </w:r>
      <w:r w:rsidR="00532319" w:rsidRPr="00CF0645">
        <w:rPr>
          <w:rFonts w:ascii="Palatino Linotype" w:hAnsi="Palatino Linotype"/>
          <w:sz w:val="22"/>
          <w:szCs w:val="22"/>
          <w:lang w:val="en-US"/>
        </w:rPr>
        <w:t xml:space="preserve">yang </w:t>
      </w:r>
      <w:r w:rsidRPr="00CF0645">
        <w:rPr>
          <w:rFonts w:ascii="Palatino Linotype" w:hAnsi="Palatino Linotype"/>
          <w:sz w:val="22"/>
          <w:szCs w:val="22"/>
        </w:rPr>
        <w:t>l</w:t>
      </w:r>
      <w:r w:rsidR="00532319" w:rsidRPr="00CF0645">
        <w:rPr>
          <w:rFonts w:ascii="Palatino Linotype" w:hAnsi="Palatino Linotype"/>
          <w:sz w:val="22"/>
          <w:szCs w:val="22"/>
        </w:rPr>
        <w:t xml:space="preserve">ebih besar daripada daerah lain </w:t>
      </w:r>
      <w:r w:rsidR="00532319" w:rsidRPr="00CF0645">
        <w:rPr>
          <w:rFonts w:ascii="Palatino Linotype" w:hAnsi="Palatino Linotype"/>
          <w:sz w:val="22"/>
          <w:szCs w:val="22"/>
          <w:lang w:val="en-US"/>
        </w:rPr>
        <w:t>(Daryono, 2011).</w:t>
      </w:r>
    </w:p>
    <w:p w:rsidR="00D558FA" w:rsidRDefault="00D558FA" w:rsidP="006E1819">
      <w:pPr>
        <w:tabs>
          <w:tab w:val="left" w:pos="567"/>
        </w:tabs>
        <w:rPr>
          <w:rFonts w:ascii="Palatino Linotype" w:hAnsi="Palatino Linotype"/>
          <w:sz w:val="22"/>
          <w:szCs w:val="22"/>
          <w:lang w:val="en-US"/>
        </w:rPr>
      </w:pPr>
    </w:p>
    <w:p w:rsidR="00733A59" w:rsidRPr="006E1819" w:rsidRDefault="00733A59" w:rsidP="00733A59">
      <w:pPr>
        <w:pStyle w:val="Heading1"/>
        <w:rPr>
          <w:lang w:val="en-US"/>
        </w:rPr>
      </w:pPr>
      <w:r w:rsidRPr="006E1819">
        <w:t>METODE PENELITIAN</w:t>
      </w:r>
      <w:r w:rsidRPr="006E1819">
        <w:rPr>
          <w:lang w:val="en-US"/>
        </w:rPr>
        <w:t xml:space="preserve"> </w:t>
      </w:r>
    </w:p>
    <w:p w:rsidR="002E2C4B" w:rsidRPr="00807D5B" w:rsidRDefault="002E2C4B" w:rsidP="002E2C4B">
      <w:pPr>
        <w:pStyle w:val="Fluxisi"/>
        <w:ind w:firstLine="446"/>
        <w:rPr>
          <w:bCs/>
          <w:szCs w:val="22"/>
        </w:rPr>
      </w:pPr>
      <w:r w:rsidRPr="002E2C4B">
        <w:rPr>
          <w:szCs w:val="22"/>
          <w:lang w:val="sv-SE"/>
        </w:rPr>
        <w:t xml:space="preserve">Pengumpulan data sekunder dilakukan untuk mendukung pembuatan peta potensi ancaman bahaya gempa, analisis maupun </w:t>
      </w:r>
      <w:r w:rsidRPr="002E2C4B">
        <w:rPr>
          <w:i/>
          <w:szCs w:val="22"/>
          <w:lang w:val="sv-SE"/>
        </w:rPr>
        <w:t>input</w:t>
      </w:r>
      <w:r w:rsidRPr="002E2C4B">
        <w:rPr>
          <w:szCs w:val="22"/>
          <w:lang w:val="sv-SE"/>
        </w:rPr>
        <w:t xml:space="preserve"> data survai lapangan. Data sekunder tersebut berupa: peta </w:t>
      </w:r>
      <w:r w:rsidRPr="002E2C4B">
        <w:rPr>
          <w:bCs/>
          <w:i/>
          <w:szCs w:val="22"/>
        </w:rPr>
        <w:t>Vs</w:t>
      </w:r>
      <w:r w:rsidRPr="002E2C4B">
        <w:rPr>
          <w:bCs/>
          <w:szCs w:val="22"/>
          <w:vertAlign w:val="subscript"/>
        </w:rPr>
        <w:t>30</w:t>
      </w:r>
      <w:r w:rsidRPr="002E2C4B">
        <w:rPr>
          <w:bCs/>
          <w:szCs w:val="22"/>
        </w:rPr>
        <w:t xml:space="preserve">, </w:t>
      </w:r>
      <w:r>
        <w:rPr>
          <w:bCs/>
          <w:szCs w:val="22"/>
        </w:rPr>
        <w:t xml:space="preserve">jarak sesar ke titik pengukuran </w:t>
      </w:r>
      <w:r>
        <w:rPr>
          <w:bCs/>
          <w:szCs w:val="22"/>
          <w:lang w:val="en-US"/>
        </w:rPr>
        <w:t xml:space="preserve">dan </w:t>
      </w:r>
      <w:r w:rsidRPr="00807D5B">
        <w:rPr>
          <w:bCs/>
          <w:szCs w:val="22"/>
        </w:rPr>
        <w:t xml:space="preserve">kondisi batuan (peta geologi), </w:t>
      </w:r>
      <w:r w:rsidRPr="00807D5B">
        <w:rPr>
          <w:bCs/>
          <w:szCs w:val="22"/>
          <w:lang w:val="en-US"/>
        </w:rPr>
        <w:t xml:space="preserve">peta </w:t>
      </w:r>
      <w:r w:rsidRPr="00807D5B">
        <w:rPr>
          <w:bCs/>
          <w:szCs w:val="22"/>
        </w:rPr>
        <w:t xml:space="preserve">PGA, </w:t>
      </w:r>
      <w:r w:rsidRPr="00807D5B">
        <w:rPr>
          <w:bCs/>
          <w:szCs w:val="22"/>
          <w:lang w:val="en-US"/>
        </w:rPr>
        <w:t xml:space="preserve">dan </w:t>
      </w:r>
      <w:r w:rsidRPr="00807D5B">
        <w:rPr>
          <w:bCs/>
          <w:szCs w:val="22"/>
        </w:rPr>
        <w:t xml:space="preserve">peta </w:t>
      </w:r>
      <w:r w:rsidRPr="00807D5B">
        <w:rPr>
          <w:szCs w:val="22"/>
        </w:rPr>
        <w:t>MMI</w:t>
      </w:r>
      <w:r w:rsidRPr="00807D5B">
        <w:rPr>
          <w:bCs/>
          <w:szCs w:val="22"/>
        </w:rPr>
        <w:t>.</w:t>
      </w:r>
    </w:p>
    <w:p w:rsidR="00482105" w:rsidRPr="00342FBF" w:rsidRDefault="00482105" w:rsidP="002E2C4B">
      <w:pPr>
        <w:pStyle w:val="Fluxisi"/>
        <w:ind w:firstLine="446"/>
        <w:rPr>
          <w:szCs w:val="22"/>
        </w:rPr>
      </w:pPr>
      <w:r w:rsidRPr="00807D5B">
        <w:rPr>
          <w:szCs w:val="22"/>
          <w:lang w:val="sv-SE"/>
        </w:rPr>
        <w:t xml:space="preserve">Peta </w:t>
      </w:r>
      <w:r w:rsidRPr="00807D5B">
        <w:rPr>
          <w:bCs/>
          <w:i/>
          <w:szCs w:val="22"/>
        </w:rPr>
        <w:t>Vs</w:t>
      </w:r>
      <w:r w:rsidRPr="00807D5B">
        <w:rPr>
          <w:bCs/>
          <w:szCs w:val="22"/>
          <w:vertAlign w:val="subscript"/>
        </w:rPr>
        <w:t>30</w:t>
      </w:r>
      <w:r w:rsidRPr="00807D5B">
        <w:rPr>
          <w:bCs/>
          <w:szCs w:val="22"/>
        </w:rPr>
        <w:t xml:space="preserve"> </w:t>
      </w:r>
      <w:r w:rsidRPr="00807D5B">
        <w:rPr>
          <w:szCs w:val="22"/>
        </w:rPr>
        <w:t xml:space="preserve">diperoleh dari data </w:t>
      </w:r>
      <w:r w:rsidRPr="00807D5B">
        <w:rPr>
          <w:i/>
          <w:szCs w:val="22"/>
        </w:rPr>
        <w:t>proxy</w:t>
      </w:r>
      <w:r w:rsidRPr="00807D5B">
        <w:rPr>
          <w:szCs w:val="22"/>
        </w:rPr>
        <w:t xml:space="preserve"> topografi global dari </w:t>
      </w:r>
      <w:r w:rsidRPr="00807D5B">
        <w:rPr>
          <w:i/>
          <w:szCs w:val="22"/>
        </w:rPr>
        <w:t>United States Geological Service</w:t>
      </w:r>
      <w:r w:rsidRPr="00807D5B">
        <w:rPr>
          <w:szCs w:val="22"/>
        </w:rPr>
        <w:t xml:space="preserve"> (USGS)</w:t>
      </w:r>
      <w:r w:rsidRPr="00807D5B">
        <w:rPr>
          <w:szCs w:val="22"/>
          <w:lang w:val="en-US"/>
        </w:rPr>
        <w:t xml:space="preserve"> dengan memasukkan koordinat wilayah Kota Bengkulu yaitu </w:t>
      </w:r>
      <w:r w:rsidRPr="00807D5B">
        <w:rPr>
          <w:szCs w:val="22"/>
        </w:rPr>
        <w:t xml:space="preserve">3°45’ - 3°59’ LS dan 102°14’ - 102°22’ BT (BPS, 2018). Data </w:t>
      </w:r>
      <w:r w:rsidRPr="00807D5B">
        <w:rPr>
          <w:i/>
          <w:szCs w:val="22"/>
        </w:rPr>
        <w:t>Vs</w:t>
      </w:r>
      <w:r w:rsidRPr="00807D5B">
        <w:rPr>
          <w:szCs w:val="22"/>
          <w:vertAlign w:val="subscript"/>
        </w:rPr>
        <w:t>30</w:t>
      </w:r>
      <w:r w:rsidRPr="00807D5B">
        <w:rPr>
          <w:szCs w:val="22"/>
        </w:rPr>
        <w:t xml:space="preserve"> ini digunakan untuk mengetahui kondisi geologi yang berkaitan dengan</w:t>
      </w:r>
      <w:r w:rsidRPr="00342FBF">
        <w:rPr>
          <w:szCs w:val="22"/>
        </w:rPr>
        <w:t xml:space="preserve"> kecepatan gelombang </w:t>
      </w:r>
      <w:r w:rsidRPr="00342FBF">
        <w:rPr>
          <w:szCs w:val="22"/>
          <w:lang w:val="en-US"/>
        </w:rPr>
        <w:t>geser rata-rata</w:t>
      </w:r>
      <w:r w:rsidRPr="00342FBF">
        <w:rPr>
          <w:szCs w:val="22"/>
        </w:rPr>
        <w:t xml:space="preserve"> sampai kedalaman 30 m.</w:t>
      </w:r>
    </w:p>
    <w:p w:rsidR="003A20BC" w:rsidRPr="00807D5B" w:rsidRDefault="00342FBF" w:rsidP="003A20BC">
      <w:pPr>
        <w:pStyle w:val="Fluxisi"/>
        <w:ind w:firstLine="446"/>
        <w:rPr>
          <w:szCs w:val="22"/>
        </w:rPr>
      </w:pPr>
      <w:r>
        <w:rPr>
          <w:bCs/>
          <w:szCs w:val="22"/>
          <w:lang w:val="en-US"/>
        </w:rPr>
        <w:t>J</w:t>
      </w:r>
      <w:r w:rsidRPr="00342FBF">
        <w:rPr>
          <w:bCs/>
          <w:szCs w:val="22"/>
        </w:rPr>
        <w:t>arak sesar ke titik pengukuran</w:t>
      </w:r>
      <w:r>
        <w:rPr>
          <w:bCs/>
          <w:szCs w:val="22"/>
        </w:rPr>
        <w:t xml:space="preserve"> dan kondisi batuan dapat diketahui</w:t>
      </w:r>
      <w:r w:rsidRPr="00342FBF">
        <w:rPr>
          <w:bCs/>
          <w:szCs w:val="22"/>
        </w:rPr>
        <w:t xml:space="preserve"> berdasarkan peta </w:t>
      </w:r>
      <w:r w:rsidRPr="00342FBF">
        <w:rPr>
          <w:szCs w:val="22"/>
          <w:lang w:val="sv-SE"/>
        </w:rPr>
        <w:t xml:space="preserve">geologi regional </w:t>
      </w:r>
      <w:r w:rsidRPr="00342FBF">
        <w:rPr>
          <w:bCs/>
          <w:i/>
          <w:iCs/>
          <w:szCs w:val="22"/>
        </w:rPr>
        <w:t>Bengkulu Quadrangle, Sumatra</w:t>
      </w:r>
      <w:r w:rsidRPr="00342FBF">
        <w:rPr>
          <w:szCs w:val="22"/>
          <w:lang w:val="sv-SE"/>
        </w:rPr>
        <w:t xml:space="preserve"> dengan skala 1:250.000 dari Departemen Pertambangan dan Energi, Direktorat Jenderal Geologi dan Sumber Daya Mineral, Pusat Penel</w:t>
      </w:r>
      <w:r>
        <w:rPr>
          <w:szCs w:val="22"/>
          <w:lang w:val="sv-SE"/>
        </w:rPr>
        <w:t>itian dan Penge</w:t>
      </w:r>
      <w:r w:rsidR="001705AD">
        <w:rPr>
          <w:szCs w:val="22"/>
          <w:lang w:val="sv-SE"/>
        </w:rPr>
        <w:t>mbangan Geologi atau Pusat Surve</w:t>
      </w:r>
      <w:r>
        <w:rPr>
          <w:szCs w:val="22"/>
          <w:lang w:val="sv-SE"/>
        </w:rPr>
        <w:t xml:space="preserve">i Geologi (PSG) </w:t>
      </w:r>
      <w:r w:rsidRPr="00342FBF">
        <w:rPr>
          <w:szCs w:val="22"/>
          <w:lang w:val="sv-SE"/>
        </w:rPr>
        <w:t xml:space="preserve">Bandung. Karena peneitian ini menganalisis potensi ancaman bahaya gempabumi, maka sesar-sesar yang ada diperhitungkan sebagai salah satu parameter untuk pembobotan yaitu jarak sesar ke titik pengukuran. Kemudian untuk kondisi batuan dapat ditentukan dari </w:t>
      </w:r>
      <w:r>
        <w:rPr>
          <w:szCs w:val="22"/>
          <w:lang w:val="sv-SE"/>
        </w:rPr>
        <w:t>litologi</w:t>
      </w:r>
      <w:r w:rsidRPr="00342FBF">
        <w:rPr>
          <w:szCs w:val="22"/>
          <w:lang w:val="sv-SE"/>
        </w:rPr>
        <w:t xml:space="preserve"> batuan yang ada di Kota Bengkulu.</w:t>
      </w:r>
      <w:r w:rsidR="003A20BC">
        <w:rPr>
          <w:szCs w:val="22"/>
          <w:lang w:val="sv-SE"/>
        </w:rPr>
        <w:t xml:space="preserve"> </w:t>
      </w:r>
      <w:r w:rsidR="003A20BC" w:rsidRPr="003A20BC">
        <w:rPr>
          <w:szCs w:val="22"/>
        </w:rPr>
        <w:t xml:space="preserve">Masing-masing </w:t>
      </w:r>
      <w:r w:rsidR="003A20BC">
        <w:rPr>
          <w:szCs w:val="22"/>
          <w:lang w:val="en-US"/>
        </w:rPr>
        <w:t>litologi</w:t>
      </w:r>
      <w:r w:rsidR="003A20BC" w:rsidRPr="003A20BC">
        <w:rPr>
          <w:szCs w:val="22"/>
        </w:rPr>
        <w:t xml:space="preserve"> tersebut mempunyai sifat-sifat fisis yang berbeda. Berdasarkan perbedaan sifat fisis tersebut, maka kondisi batuan dapat diketahui apakah batuan tersebut bersifat solid atau lepas (</w:t>
      </w:r>
      <w:r w:rsidR="003A20BC" w:rsidRPr="003A20BC">
        <w:rPr>
          <w:i/>
          <w:szCs w:val="22"/>
        </w:rPr>
        <w:t>unconsolidated</w:t>
      </w:r>
      <w:r w:rsidR="003A20BC" w:rsidRPr="003A20BC">
        <w:rPr>
          <w:szCs w:val="22"/>
        </w:rPr>
        <w:t xml:space="preserve">) yang dapat mempengaruhi kondisi batuan bila </w:t>
      </w:r>
      <w:r w:rsidR="003A20BC">
        <w:rPr>
          <w:szCs w:val="22"/>
          <w:lang w:val="en-US"/>
        </w:rPr>
        <w:t xml:space="preserve">terjadi </w:t>
      </w:r>
      <w:r w:rsidR="003A20BC" w:rsidRPr="00807D5B">
        <w:rPr>
          <w:szCs w:val="22"/>
        </w:rPr>
        <w:t xml:space="preserve">gempabumi. </w:t>
      </w:r>
    </w:p>
    <w:p w:rsidR="00EE2F10" w:rsidRPr="00EE2F10" w:rsidRDefault="00EE2F10" w:rsidP="00EE2F10">
      <w:pPr>
        <w:autoSpaceDE w:val="0"/>
        <w:autoSpaceDN w:val="0"/>
        <w:adjustRightInd w:val="0"/>
        <w:ind w:firstLine="450"/>
        <w:jc w:val="both"/>
        <w:rPr>
          <w:rFonts w:ascii="Palatino Linotype" w:hAnsi="Palatino Linotype"/>
          <w:bCs/>
          <w:sz w:val="22"/>
          <w:szCs w:val="22"/>
        </w:rPr>
      </w:pPr>
      <w:r w:rsidRPr="00807D5B">
        <w:rPr>
          <w:rFonts w:ascii="Palatino Linotype" w:hAnsi="Palatino Linotype"/>
          <w:bCs/>
          <w:sz w:val="22"/>
          <w:szCs w:val="22"/>
        </w:rPr>
        <w:t xml:space="preserve">PGA </w:t>
      </w:r>
      <w:r w:rsidRPr="00807D5B">
        <w:rPr>
          <w:rFonts w:ascii="Palatino Linotype" w:hAnsi="Palatino Linotype"/>
          <w:bCs/>
          <w:sz w:val="22"/>
          <w:szCs w:val="22"/>
          <w:lang w:val="en-US"/>
        </w:rPr>
        <w:t xml:space="preserve">batuan dasar </w:t>
      </w:r>
      <w:r w:rsidRPr="00807D5B">
        <w:rPr>
          <w:rFonts w:ascii="Palatino Linotype" w:hAnsi="Palatino Linotype"/>
          <w:bCs/>
          <w:sz w:val="22"/>
          <w:szCs w:val="22"/>
        </w:rPr>
        <w:t xml:space="preserve">yang diperoleh dari penelitian sebelumnya oleh </w:t>
      </w:r>
      <w:r w:rsidRPr="00807D5B">
        <w:rPr>
          <w:rFonts w:ascii="Palatino Linotype" w:hAnsi="Palatino Linotype"/>
          <w:sz w:val="22"/>
          <w:szCs w:val="22"/>
          <w:lang w:val="sv-SE"/>
        </w:rPr>
        <w:t xml:space="preserve">Hadi </w:t>
      </w:r>
      <w:r w:rsidR="006923E9" w:rsidRPr="00807D5B">
        <w:rPr>
          <w:rFonts w:ascii="Palatino Linotype" w:hAnsi="Palatino Linotype"/>
          <w:sz w:val="22"/>
          <w:szCs w:val="22"/>
          <w:lang w:val="sv-SE"/>
        </w:rPr>
        <w:t>&amp;</w:t>
      </w:r>
      <w:r w:rsidRPr="00807D5B">
        <w:rPr>
          <w:rFonts w:ascii="Palatino Linotype" w:hAnsi="Palatino Linotype"/>
          <w:sz w:val="22"/>
          <w:szCs w:val="22"/>
          <w:lang w:val="sv-SE"/>
        </w:rPr>
        <w:t xml:space="preserve"> Brotopuspito (2015) disederhanakan hanya untuk </w:t>
      </w:r>
      <w:r w:rsidR="008F415A" w:rsidRPr="00807D5B">
        <w:rPr>
          <w:rFonts w:ascii="Palatino Linotype" w:hAnsi="Palatino Linotype"/>
          <w:sz w:val="22"/>
          <w:szCs w:val="22"/>
          <w:lang w:val="sv-SE"/>
        </w:rPr>
        <w:t xml:space="preserve">wilayah </w:t>
      </w:r>
      <w:r w:rsidRPr="00807D5B">
        <w:rPr>
          <w:rFonts w:ascii="Palatino Linotype" w:hAnsi="Palatino Linotype"/>
          <w:sz w:val="22"/>
          <w:szCs w:val="22"/>
          <w:lang w:val="sv-SE"/>
        </w:rPr>
        <w:t>studi. Nilai-nilai PGA di wilayah Kota Bengkulu tersebut kemudian di</w:t>
      </w:r>
      <w:r w:rsidRPr="00EE2F10">
        <w:rPr>
          <w:rFonts w:ascii="Palatino Linotype" w:hAnsi="Palatino Linotype"/>
          <w:sz w:val="22"/>
          <w:szCs w:val="22"/>
          <w:lang w:val="sv-SE"/>
        </w:rPr>
        <w:t>-</w:t>
      </w:r>
      <w:r w:rsidRPr="00EE2F10">
        <w:rPr>
          <w:rFonts w:ascii="Palatino Linotype" w:hAnsi="Palatino Linotype"/>
          <w:i/>
          <w:sz w:val="22"/>
          <w:szCs w:val="22"/>
          <w:lang w:val="sv-SE"/>
        </w:rPr>
        <w:t>overlay</w:t>
      </w:r>
      <w:r w:rsidRPr="00EE2F10">
        <w:rPr>
          <w:rFonts w:ascii="Palatino Linotype" w:hAnsi="Palatino Linotype"/>
          <w:sz w:val="22"/>
          <w:szCs w:val="22"/>
          <w:lang w:val="sv-SE"/>
        </w:rPr>
        <w:t xml:space="preserve"> dengan titik titik pengukuran, sehingga nilai PGA di masng-masing titik pengukuran dapat ditentukan. </w:t>
      </w:r>
    </w:p>
    <w:p w:rsidR="00EE2F10" w:rsidRDefault="00CE4FC2" w:rsidP="003A20BC">
      <w:pPr>
        <w:pStyle w:val="Fluxisi"/>
        <w:ind w:firstLine="446"/>
        <w:rPr>
          <w:szCs w:val="22"/>
          <w:lang w:val="en-US"/>
        </w:rPr>
      </w:pPr>
      <w:r w:rsidRPr="00CE4FC2">
        <w:rPr>
          <w:bCs/>
          <w:szCs w:val="22"/>
        </w:rPr>
        <w:t xml:space="preserve">Selanjutnya untuk mendapat nilai MMI diperoleh dari hubungan antara PGA dan </w:t>
      </w:r>
      <w:r w:rsidRPr="00CE4FC2">
        <w:rPr>
          <w:bCs/>
          <w:szCs w:val="22"/>
        </w:rPr>
        <w:lastRenderedPageBreak/>
        <w:t xml:space="preserve">MMI pada masing-masing titik lokasi. </w:t>
      </w:r>
      <w:r w:rsidRPr="00CE4FC2">
        <w:rPr>
          <w:szCs w:val="22"/>
        </w:rPr>
        <w:t xml:space="preserve">Hubungan antara PGA dengan skala </w:t>
      </w:r>
      <w:r w:rsidRPr="00CE4FC2">
        <w:rPr>
          <w:i/>
          <w:szCs w:val="22"/>
        </w:rPr>
        <w:t>Modified Mercalli Intensity</w:t>
      </w:r>
      <w:r w:rsidRPr="00CE4FC2">
        <w:rPr>
          <w:szCs w:val="22"/>
        </w:rPr>
        <w:t xml:space="preserve"> (</w:t>
      </w:r>
      <w:r w:rsidRPr="00CE4FC2">
        <w:rPr>
          <w:i/>
          <w:szCs w:val="22"/>
        </w:rPr>
        <w:t>I</w:t>
      </w:r>
      <w:r w:rsidRPr="00CE4FC2">
        <w:rPr>
          <w:i/>
          <w:szCs w:val="22"/>
          <w:vertAlign w:val="subscript"/>
        </w:rPr>
        <w:t>mm</w:t>
      </w:r>
      <w:r w:rsidRPr="00CE4FC2">
        <w:rPr>
          <w:szCs w:val="22"/>
        </w:rPr>
        <w:t xml:space="preserve">) diberikan oleh </w:t>
      </w:r>
      <w:r w:rsidR="00293390">
        <w:rPr>
          <w:szCs w:val="22"/>
          <w:lang w:val="en-US"/>
        </w:rPr>
        <w:t>(</w:t>
      </w:r>
      <w:r w:rsidRPr="000B411D">
        <w:rPr>
          <w:szCs w:val="22"/>
        </w:rPr>
        <w:t>Wald</w:t>
      </w:r>
      <w:r w:rsidR="00293390" w:rsidRPr="000B411D">
        <w:rPr>
          <w:szCs w:val="22"/>
          <w:lang w:val="en-US"/>
        </w:rPr>
        <w:t xml:space="preserve">, </w:t>
      </w:r>
      <w:r w:rsidR="00293390" w:rsidRPr="000B411D">
        <w:rPr>
          <w:szCs w:val="22"/>
        </w:rPr>
        <w:t>Quitoriano,</w:t>
      </w:r>
      <w:r w:rsidR="00334BA6" w:rsidRPr="000B411D">
        <w:rPr>
          <w:szCs w:val="22"/>
          <w:lang w:val="en-US"/>
        </w:rPr>
        <w:t xml:space="preserve"> </w:t>
      </w:r>
      <w:r w:rsidR="00334BA6" w:rsidRPr="000B411D">
        <w:rPr>
          <w:szCs w:val="22"/>
        </w:rPr>
        <w:t xml:space="preserve">Heaton, </w:t>
      </w:r>
      <w:r w:rsidR="00334BA6" w:rsidRPr="000B411D">
        <w:t>&amp; Kanamori</w:t>
      </w:r>
      <w:r w:rsidR="00293390" w:rsidRPr="000B411D">
        <w:rPr>
          <w:szCs w:val="22"/>
        </w:rPr>
        <w:t xml:space="preserve">, </w:t>
      </w:r>
      <w:r w:rsidRPr="000B411D">
        <w:rPr>
          <w:szCs w:val="22"/>
        </w:rPr>
        <w:t>1999)</w:t>
      </w:r>
      <w:r w:rsidRPr="000B411D">
        <w:rPr>
          <w:szCs w:val="22"/>
          <w:lang w:val="en-US"/>
        </w:rPr>
        <w:t>:</w:t>
      </w:r>
    </w:p>
    <w:tbl>
      <w:tblPr>
        <w:tblStyle w:val="TableGrid"/>
        <w:tblW w:w="4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2"/>
        <w:gridCol w:w="473"/>
      </w:tblGrid>
      <w:tr w:rsidR="00CE4FC2" w:rsidTr="00CE4FC2">
        <w:tc>
          <w:tcPr>
            <w:tcW w:w="4202" w:type="dxa"/>
          </w:tcPr>
          <w:p w:rsidR="00CE4FC2" w:rsidRPr="00CE4FC2" w:rsidRDefault="00FD1C96" w:rsidP="00CE4FC2">
            <w:pPr>
              <w:pStyle w:val="Fluxisi"/>
              <w:ind w:firstLine="337"/>
              <w:rPr>
                <w:rFonts w:ascii="Cambria Math" w:hAnsi="Cambria Math"/>
                <w:szCs w:val="22"/>
                <w:lang w:val="en-US"/>
              </w:rPr>
            </w:pPr>
            <w:r w:rsidRPr="00CE4FC2">
              <w:rPr>
                <w:rFonts w:ascii="Cambria Math" w:hAnsi="Cambria Math"/>
                <w:position w:val="-14"/>
                <w:sz w:val="24"/>
                <w:szCs w:val="24"/>
              </w:rPr>
              <w:object w:dxaOrig="274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8pt;height:19.7pt" o:ole="">
                  <v:imagedata r:id="rId11" o:title=""/>
                </v:shape>
                <o:OLEObject Type="Embed" ProgID="Equation.DSMT4" ShapeID="_x0000_i1025" DrawAspect="Content" ObjectID="_1666683502" r:id="rId12"/>
              </w:object>
            </w:r>
          </w:p>
        </w:tc>
        <w:tc>
          <w:tcPr>
            <w:tcW w:w="473" w:type="dxa"/>
          </w:tcPr>
          <w:p w:rsidR="00CE4FC2" w:rsidRDefault="00CE4FC2" w:rsidP="00CE4FC2">
            <w:pPr>
              <w:pStyle w:val="Fluxisi"/>
              <w:ind w:firstLine="0"/>
              <w:jc w:val="right"/>
              <w:rPr>
                <w:szCs w:val="22"/>
                <w:lang w:val="en-US"/>
              </w:rPr>
            </w:pPr>
            <w:r>
              <w:rPr>
                <w:szCs w:val="22"/>
                <w:lang w:val="en-US"/>
              </w:rPr>
              <w:t>(1)</w:t>
            </w:r>
          </w:p>
        </w:tc>
      </w:tr>
    </w:tbl>
    <w:p w:rsidR="00EF09C3" w:rsidRDefault="00EF09C3" w:rsidP="00EF09C3">
      <w:pPr>
        <w:pStyle w:val="Fluxisi"/>
        <w:ind w:firstLine="446"/>
        <w:rPr>
          <w:szCs w:val="22"/>
        </w:rPr>
      </w:pPr>
      <w:r w:rsidRPr="005C3708">
        <w:rPr>
          <w:szCs w:val="22"/>
        </w:rPr>
        <w:t xml:space="preserve">Untuk tahap survai lapangan berupa pengambilan data mikrotremor dengan metode </w:t>
      </w:r>
      <w:r w:rsidRPr="005C3708">
        <w:rPr>
          <w:rStyle w:val="reference-text"/>
          <w:i/>
          <w:szCs w:val="22"/>
        </w:rPr>
        <w:t>Horizontal to Vertical Spectral Ratio</w:t>
      </w:r>
      <w:r w:rsidRPr="005C3708">
        <w:rPr>
          <w:rStyle w:val="reference-text"/>
          <w:szCs w:val="22"/>
        </w:rPr>
        <w:t xml:space="preserve"> (</w:t>
      </w:r>
      <w:r w:rsidRPr="005C3708">
        <w:rPr>
          <w:szCs w:val="22"/>
        </w:rPr>
        <w:t xml:space="preserve">HVSR). </w:t>
      </w:r>
      <w:r>
        <w:rPr>
          <w:szCs w:val="22"/>
          <w:lang w:val="en-US"/>
        </w:rPr>
        <w:t>Pemanfaatan m</w:t>
      </w:r>
      <w:r w:rsidRPr="005C3708">
        <w:rPr>
          <w:rStyle w:val="reference-text"/>
          <w:szCs w:val="22"/>
        </w:rPr>
        <w:t xml:space="preserve">etode </w:t>
      </w:r>
      <w:r>
        <w:rPr>
          <w:rStyle w:val="reference-text"/>
          <w:szCs w:val="22"/>
          <w:lang w:val="en-US"/>
        </w:rPr>
        <w:t>HVSR adalah</w:t>
      </w:r>
      <w:r w:rsidRPr="005C3708">
        <w:rPr>
          <w:rStyle w:val="reference-text"/>
          <w:szCs w:val="22"/>
        </w:rPr>
        <w:t xml:space="preserve"> untuk mengidentifikasi respon resonansi pada cekungan yang berisi material sedimen yang dikaitkan dengan GSS dan ketebalan lapisan sedimennya </w:t>
      </w:r>
      <w:r w:rsidRPr="004A15AD">
        <w:rPr>
          <w:rStyle w:val="reference-text"/>
          <w:szCs w:val="22"/>
        </w:rPr>
        <w:t>(Daryono, 2011, Nakamura</w:t>
      </w:r>
      <w:r w:rsidR="00B5468F" w:rsidRPr="004A15AD">
        <w:rPr>
          <w:rStyle w:val="reference-text"/>
          <w:szCs w:val="22"/>
          <w:lang w:val="en-US"/>
        </w:rPr>
        <w:t>,</w:t>
      </w:r>
      <w:r w:rsidRPr="004A15AD">
        <w:rPr>
          <w:rStyle w:val="reference-text"/>
          <w:szCs w:val="22"/>
        </w:rPr>
        <w:t xml:space="preserve"> </w:t>
      </w:r>
      <w:r w:rsidR="00B5468F" w:rsidRPr="004A15AD">
        <w:rPr>
          <w:szCs w:val="22"/>
          <w:lang w:val="sv-SE"/>
        </w:rPr>
        <w:t xml:space="preserve">Saita, </w:t>
      </w:r>
      <w:r w:rsidR="00B5468F" w:rsidRPr="004A15AD">
        <w:rPr>
          <w:lang w:val="sv-SE"/>
        </w:rPr>
        <w:t>&amp; Sato</w:t>
      </w:r>
      <w:r w:rsidR="00B5468F" w:rsidRPr="004A15AD">
        <w:rPr>
          <w:rStyle w:val="reference-text"/>
          <w:szCs w:val="22"/>
        </w:rPr>
        <w:t>, 2003</w:t>
      </w:r>
      <w:r w:rsidR="00B5468F" w:rsidRPr="004A15AD">
        <w:rPr>
          <w:rStyle w:val="reference-text"/>
          <w:szCs w:val="22"/>
          <w:lang w:val="en-US"/>
        </w:rPr>
        <w:t>,</w:t>
      </w:r>
      <w:r w:rsidRPr="004A15AD">
        <w:rPr>
          <w:rStyle w:val="reference-text"/>
          <w:szCs w:val="22"/>
        </w:rPr>
        <w:t xml:space="preserve"> dan Nakamura, 2008). </w:t>
      </w:r>
      <w:r w:rsidRPr="004A15AD">
        <w:rPr>
          <w:szCs w:val="22"/>
        </w:rPr>
        <w:t>Pengambilan titik pengukuran pada metode HVSR disesuaikan dengan kon</w:t>
      </w:r>
      <w:r w:rsidRPr="005C3708">
        <w:rPr>
          <w:szCs w:val="22"/>
        </w:rPr>
        <w:t>disi lapangan dengan mengambil titik-titik data memotong</w:t>
      </w:r>
      <w:r>
        <w:rPr>
          <w:szCs w:val="22"/>
          <w:lang w:val="en-US"/>
        </w:rPr>
        <w:t xml:space="preserve"> </w:t>
      </w:r>
      <w:r w:rsidRPr="005C3708">
        <w:rPr>
          <w:szCs w:val="22"/>
        </w:rPr>
        <w:t>sesar</w:t>
      </w:r>
      <w:r w:rsidR="00A16FDE">
        <w:rPr>
          <w:szCs w:val="22"/>
          <w:lang w:val="en-US"/>
        </w:rPr>
        <w:t xml:space="preserve"> </w:t>
      </w:r>
      <w:r w:rsidRPr="005C3708">
        <w:rPr>
          <w:szCs w:val="22"/>
        </w:rPr>
        <w:t>atau pada</w:t>
      </w:r>
      <w:r>
        <w:rPr>
          <w:szCs w:val="22"/>
        </w:rPr>
        <w:t xml:space="preserve"> beberapa litologi yang berbeda </w:t>
      </w:r>
      <w:r w:rsidRPr="005C3708">
        <w:rPr>
          <w:szCs w:val="22"/>
        </w:rPr>
        <w:t xml:space="preserve">dengan mengacu kepada peta geologi regional Lembar Bengkulu. </w:t>
      </w:r>
      <w:r>
        <w:rPr>
          <w:szCs w:val="22"/>
          <w:lang w:val="en-US"/>
        </w:rPr>
        <w:t xml:space="preserve">Akusisi data mikrotremor </w:t>
      </w:r>
      <w:r w:rsidRPr="005C3708">
        <w:rPr>
          <w:szCs w:val="22"/>
        </w:rPr>
        <w:t>pada penelitian ini menggunakan</w:t>
      </w:r>
      <w:r>
        <w:rPr>
          <w:szCs w:val="22"/>
          <w:lang w:val="en-US"/>
        </w:rPr>
        <w:t xml:space="preserve"> seperangkat alat</w:t>
      </w:r>
      <w:r w:rsidRPr="005C3708">
        <w:rPr>
          <w:szCs w:val="22"/>
        </w:rPr>
        <w:t xml:space="preserve"> </w:t>
      </w:r>
      <w:r w:rsidRPr="005C3708">
        <w:rPr>
          <w:i/>
          <w:szCs w:val="22"/>
        </w:rPr>
        <w:t>Broadband</w:t>
      </w:r>
      <w:r w:rsidRPr="005C3708">
        <w:rPr>
          <w:szCs w:val="22"/>
        </w:rPr>
        <w:t xml:space="preserve"> Seismometer PASI Gemini-2 (</w:t>
      </w:r>
      <w:r w:rsidRPr="005C3708">
        <w:rPr>
          <w:i/>
          <w:szCs w:val="22"/>
        </w:rPr>
        <w:t>triaxial geophone</w:t>
      </w:r>
      <w:r w:rsidRPr="005C3708">
        <w:rPr>
          <w:szCs w:val="22"/>
        </w:rPr>
        <w:t>)</w:t>
      </w:r>
      <w:r>
        <w:rPr>
          <w:szCs w:val="22"/>
        </w:rPr>
        <w:t xml:space="preserve">. </w:t>
      </w:r>
    </w:p>
    <w:p w:rsidR="00EF09C3" w:rsidRDefault="00EF09C3" w:rsidP="00EF09C3">
      <w:pPr>
        <w:pStyle w:val="Fluxisi"/>
        <w:ind w:firstLine="446"/>
        <w:rPr>
          <w:szCs w:val="22"/>
        </w:rPr>
      </w:pPr>
      <w:r>
        <w:rPr>
          <w:szCs w:val="22"/>
          <w:lang w:val="en-US"/>
        </w:rPr>
        <w:t>P</w:t>
      </w:r>
      <w:r w:rsidRPr="00281258">
        <w:rPr>
          <w:szCs w:val="22"/>
        </w:rPr>
        <w:t xml:space="preserve">engambilan data mikrotremor mengacu </w:t>
      </w:r>
      <w:r>
        <w:rPr>
          <w:szCs w:val="22"/>
          <w:lang w:val="en-US"/>
        </w:rPr>
        <w:t>ke</w:t>
      </w:r>
      <w:r w:rsidRPr="00281258">
        <w:rPr>
          <w:szCs w:val="22"/>
        </w:rPr>
        <w:t xml:space="preserve">pada standar </w:t>
      </w:r>
      <w:r w:rsidRPr="00281258">
        <w:rPr>
          <w:i/>
          <w:szCs w:val="22"/>
        </w:rPr>
        <w:t>Site Effects Assesment using Ambient Excitation</w:t>
      </w:r>
      <w:r w:rsidRPr="00281258">
        <w:rPr>
          <w:szCs w:val="22"/>
        </w:rPr>
        <w:t xml:space="preserve"> (SESAME). Menurut </w:t>
      </w:r>
      <w:r w:rsidRPr="005A71D9">
        <w:rPr>
          <w:szCs w:val="22"/>
        </w:rPr>
        <w:t>SESAME (2004), lamanya</w:t>
      </w:r>
      <w:r w:rsidRPr="00281258">
        <w:rPr>
          <w:szCs w:val="22"/>
        </w:rPr>
        <w:t xml:space="preserve"> pengambilan data dapat memberikan hasil yang baik apabila frekuensi dominan tempat penelitian cukup rendah. Sehingga dalam pengambilan data di lapangan diambil data selama 30 menit</w:t>
      </w:r>
      <w:r>
        <w:rPr>
          <w:szCs w:val="22"/>
        </w:rPr>
        <w:t xml:space="preserve"> untuk semua lokasi penelitian. </w:t>
      </w:r>
    </w:p>
    <w:p w:rsidR="001133E8" w:rsidRPr="00214962" w:rsidRDefault="001133E8" w:rsidP="001133E8">
      <w:pPr>
        <w:autoSpaceDE w:val="0"/>
        <w:autoSpaceDN w:val="0"/>
        <w:adjustRightInd w:val="0"/>
        <w:ind w:firstLine="450"/>
        <w:jc w:val="both"/>
        <w:rPr>
          <w:rFonts w:ascii="Palatino Linotype" w:hAnsi="Palatino Linotype"/>
          <w:sz w:val="22"/>
          <w:szCs w:val="22"/>
          <w:lang w:val="en-US"/>
        </w:rPr>
      </w:pPr>
      <w:r w:rsidRPr="001133E8">
        <w:rPr>
          <w:rFonts w:ascii="Palatino Linotype" w:hAnsi="Palatino Linotype"/>
          <w:sz w:val="22"/>
          <w:szCs w:val="22"/>
        </w:rPr>
        <w:t>Teknik HVSR dilakukan dengan pemilihan sinyal dalam kawasan waktu (</w:t>
      </w:r>
      <w:r w:rsidRPr="001133E8">
        <w:rPr>
          <w:rFonts w:ascii="Palatino Linotype" w:hAnsi="Palatino Linotype"/>
          <w:i/>
          <w:sz w:val="22"/>
          <w:szCs w:val="22"/>
        </w:rPr>
        <w:t>windowing</w:t>
      </w:r>
      <w:r w:rsidRPr="001133E8">
        <w:rPr>
          <w:rFonts w:ascii="Palatino Linotype" w:hAnsi="Palatino Linotype"/>
          <w:sz w:val="22"/>
          <w:szCs w:val="22"/>
        </w:rPr>
        <w:t xml:space="preserve">). Penentuan lebar </w:t>
      </w:r>
      <w:r w:rsidRPr="001133E8">
        <w:rPr>
          <w:rFonts w:ascii="Palatino Linotype" w:hAnsi="Palatino Linotype"/>
          <w:i/>
          <w:sz w:val="22"/>
          <w:szCs w:val="22"/>
        </w:rPr>
        <w:t>window</w:t>
      </w:r>
      <w:r w:rsidRPr="001133E8">
        <w:rPr>
          <w:rFonts w:ascii="Palatino Linotype" w:hAnsi="Palatino Linotype"/>
          <w:sz w:val="22"/>
          <w:szCs w:val="22"/>
        </w:rPr>
        <w:t xml:space="preserve"> mengacu kepada SESAME </w:t>
      </w:r>
      <w:r w:rsidRPr="001133E8">
        <w:rPr>
          <w:rFonts w:ascii="Palatino Linotype" w:hAnsi="Palatino Linotype"/>
          <w:i/>
          <w:sz w:val="22"/>
          <w:szCs w:val="22"/>
        </w:rPr>
        <w:t>European Research Project</w:t>
      </w:r>
      <w:r w:rsidRPr="001133E8">
        <w:rPr>
          <w:rFonts w:ascii="Palatino Linotype" w:hAnsi="Palatino Linotype"/>
          <w:sz w:val="22"/>
          <w:szCs w:val="22"/>
        </w:rPr>
        <w:t xml:space="preserve"> yaitu penentuan panjang </w:t>
      </w:r>
      <w:r w:rsidRPr="001133E8">
        <w:rPr>
          <w:rFonts w:ascii="Palatino Linotype" w:hAnsi="Palatino Linotype"/>
          <w:i/>
          <w:sz w:val="22"/>
          <w:szCs w:val="22"/>
        </w:rPr>
        <w:t>window</w:t>
      </w:r>
      <w:r w:rsidRPr="001133E8">
        <w:rPr>
          <w:rFonts w:ascii="Palatino Linotype" w:hAnsi="Palatino Linotype"/>
          <w:sz w:val="22"/>
          <w:szCs w:val="22"/>
        </w:rPr>
        <w:t xml:space="preserve"> memiliki minimal persyaratan </w:t>
      </w:r>
      <w:r w:rsidRPr="001133E8">
        <w:rPr>
          <w:rFonts w:ascii="Palatino Linotype" w:hAnsi="Palatino Linotype"/>
          <w:i/>
          <w:sz w:val="22"/>
          <w:szCs w:val="22"/>
        </w:rPr>
        <w:t>I</w:t>
      </w:r>
      <w:r w:rsidRPr="001133E8">
        <w:rPr>
          <w:rFonts w:ascii="Palatino Linotype" w:hAnsi="Palatino Linotype"/>
          <w:i/>
          <w:sz w:val="22"/>
          <w:szCs w:val="22"/>
          <w:vertAlign w:val="subscript"/>
        </w:rPr>
        <w:t>w</w:t>
      </w:r>
      <w:r w:rsidRPr="001133E8">
        <w:rPr>
          <w:rFonts w:ascii="Palatino Linotype" w:hAnsi="Palatino Linotype"/>
          <w:sz w:val="22"/>
          <w:szCs w:val="22"/>
        </w:rPr>
        <w:t xml:space="preserve"> = 10 / </w:t>
      </w:r>
      <w:r w:rsidRPr="001133E8">
        <w:rPr>
          <w:rFonts w:ascii="Palatino Linotype" w:hAnsi="Palatino Linotype"/>
          <w:i/>
          <w:sz w:val="22"/>
          <w:szCs w:val="22"/>
        </w:rPr>
        <w:t>f</w:t>
      </w:r>
      <w:r w:rsidRPr="001133E8">
        <w:rPr>
          <w:rFonts w:ascii="Palatino Linotype" w:hAnsi="Palatino Linotype"/>
          <w:i/>
          <w:sz w:val="22"/>
          <w:szCs w:val="22"/>
          <w:vertAlign w:val="subscript"/>
        </w:rPr>
        <w:t>g</w:t>
      </w:r>
      <w:r w:rsidRPr="001133E8">
        <w:rPr>
          <w:rFonts w:ascii="Palatino Linotype" w:hAnsi="Palatino Linotype"/>
          <w:sz w:val="22"/>
          <w:szCs w:val="22"/>
        </w:rPr>
        <w:t xml:space="preserve"> , dengan </w:t>
      </w:r>
      <w:r w:rsidRPr="001133E8">
        <w:rPr>
          <w:rFonts w:ascii="Palatino Linotype" w:hAnsi="Palatino Linotype"/>
          <w:i/>
          <w:sz w:val="22"/>
          <w:szCs w:val="22"/>
        </w:rPr>
        <w:t>I</w:t>
      </w:r>
      <w:r w:rsidRPr="001133E8">
        <w:rPr>
          <w:rFonts w:ascii="Palatino Linotype" w:hAnsi="Palatino Linotype"/>
          <w:i/>
          <w:sz w:val="22"/>
          <w:szCs w:val="22"/>
          <w:vertAlign w:val="subscript"/>
        </w:rPr>
        <w:t>w</w:t>
      </w:r>
      <w:r w:rsidRPr="001133E8">
        <w:rPr>
          <w:rFonts w:ascii="Palatino Linotype" w:hAnsi="Palatino Linotype"/>
          <w:sz w:val="22"/>
          <w:szCs w:val="22"/>
          <w:vertAlign w:val="subscript"/>
        </w:rPr>
        <w:t xml:space="preserve"> </w:t>
      </w:r>
      <w:r w:rsidRPr="001133E8">
        <w:rPr>
          <w:rFonts w:ascii="Palatino Linotype" w:hAnsi="Palatino Linotype"/>
          <w:sz w:val="22"/>
          <w:szCs w:val="22"/>
        </w:rPr>
        <w:t xml:space="preserve">merupakan panjang window dan </w:t>
      </w:r>
      <w:r w:rsidRPr="001133E8">
        <w:rPr>
          <w:rFonts w:ascii="Palatino Linotype" w:hAnsi="Palatino Linotype"/>
          <w:i/>
          <w:sz w:val="22"/>
          <w:szCs w:val="22"/>
        </w:rPr>
        <w:t>f</w:t>
      </w:r>
      <w:r w:rsidRPr="001133E8">
        <w:rPr>
          <w:rFonts w:ascii="Palatino Linotype" w:hAnsi="Palatino Linotype"/>
          <w:i/>
          <w:sz w:val="22"/>
          <w:szCs w:val="22"/>
          <w:vertAlign w:val="subscript"/>
        </w:rPr>
        <w:t>g</w:t>
      </w:r>
      <w:r w:rsidRPr="001133E8">
        <w:rPr>
          <w:rFonts w:ascii="Palatino Linotype" w:hAnsi="Palatino Linotype"/>
          <w:sz w:val="22"/>
          <w:szCs w:val="22"/>
          <w:vertAlign w:val="subscript"/>
        </w:rPr>
        <w:t xml:space="preserve"> </w:t>
      </w:r>
      <w:r>
        <w:rPr>
          <w:rFonts w:ascii="Palatino Linotype" w:hAnsi="Palatino Linotype"/>
          <w:sz w:val="22"/>
          <w:szCs w:val="22"/>
        </w:rPr>
        <w:t xml:space="preserve">adalah frekuensi </w:t>
      </w:r>
      <w:r w:rsidRPr="00214962">
        <w:rPr>
          <w:rFonts w:ascii="Palatino Linotype" w:hAnsi="Palatino Linotype"/>
          <w:sz w:val="22"/>
          <w:szCs w:val="22"/>
        </w:rPr>
        <w:t>dominannya (SESAME, 2004)</w:t>
      </w:r>
      <w:r w:rsidRPr="00214962">
        <w:rPr>
          <w:rFonts w:ascii="Palatino Linotype" w:hAnsi="Palatino Linotype"/>
          <w:sz w:val="22"/>
          <w:szCs w:val="22"/>
          <w:lang w:val="en-US"/>
        </w:rPr>
        <w:t>.</w:t>
      </w:r>
    </w:p>
    <w:p w:rsidR="005E4CBF" w:rsidRPr="005A71D9" w:rsidRDefault="00A92A18" w:rsidP="0092016E">
      <w:pPr>
        <w:autoSpaceDE w:val="0"/>
        <w:autoSpaceDN w:val="0"/>
        <w:adjustRightInd w:val="0"/>
        <w:ind w:firstLine="450"/>
        <w:jc w:val="both"/>
        <w:rPr>
          <w:rFonts w:ascii="Palatino Linotype" w:hAnsi="Palatino Linotype"/>
          <w:sz w:val="22"/>
          <w:szCs w:val="22"/>
        </w:rPr>
      </w:pPr>
      <w:r w:rsidRPr="00214962">
        <w:rPr>
          <w:rFonts w:ascii="Palatino Linotype" w:hAnsi="Palatino Linotype"/>
          <w:sz w:val="22"/>
          <w:szCs w:val="22"/>
        </w:rPr>
        <w:t xml:space="preserve">Setelah </w:t>
      </w:r>
      <w:r w:rsidRPr="00214962">
        <w:rPr>
          <w:rFonts w:ascii="Palatino Linotype" w:hAnsi="Palatino Linotype"/>
          <w:i/>
          <w:sz w:val="22"/>
          <w:szCs w:val="22"/>
        </w:rPr>
        <w:t>windowing</w:t>
      </w:r>
      <w:r w:rsidRPr="00214962">
        <w:rPr>
          <w:rFonts w:ascii="Palatino Linotype" w:hAnsi="Palatino Linotype"/>
          <w:sz w:val="22"/>
          <w:szCs w:val="22"/>
        </w:rPr>
        <w:t xml:space="preserve"> kemudian</w:t>
      </w:r>
      <w:r w:rsidRPr="005A71D9">
        <w:rPr>
          <w:rFonts w:ascii="Palatino Linotype" w:hAnsi="Palatino Linotype"/>
          <w:sz w:val="22"/>
          <w:szCs w:val="22"/>
        </w:rPr>
        <w:t xml:space="preserve"> dilakukan transformasi konversi ke dalam domain frekuensi dengan </w:t>
      </w:r>
      <w:r w:rsidRPr="005A71D9">
        <w:rPr>
          <w:rFonts w:ascii="Palatino Linotype" w:hAnsi="Palatino Linotype"/>
          <w:i/>
          <w:sz w:val="22"/>
          <w:szCs w:val="22"/>
        </w:rPr>
        <w:t>Fast Fourier Transform</w:t>
      </w:r>
      <w:r w:rsidRPr="005A71D9">
        <w:rPr>
          <w:rFonts w:ascii="Palatino Linotype" w:hAnsi="Palatino Linotype"/>
          <w:sz w:val="22"/>
          <w:szCs w:val="22"/>
        </w:rPr>
        <w:t xml:space="preserve"> (FFT) dan dilanjutkan menghitung rasio nilai H/V yaitu spektrum komponen horizontal dan komponen vertikal </w:t>
      </w:r>
      <w:r w:rsidRPr="005A71D9">
        <w:rPr>
          <w:rStyle w:val="reference-text"/>
          <w:rFonts w:ascii="Palatino Linotype" w:hAnsi="Palatino Linotype"/>
          <w:sz w:val="22"/>
          <w:szCs w:val="22"/>
        </w:rPr>
        <w:t>(Nakamura, 2000 dan Daryono, 2011).</w:t>
      </w:r>
      <w:r w:rsidR="0092016E" w:rsidRPr="005A71D9">
        <w:rPr>
          <w:rFonts w:ascii="Palatino Linotype" w:hAnsi="Palatino Linotype"/>
          <w:sz w:val="22"/>
          <w:szCs w:val="22"/>
          <w:lang w:val="en-US"/>
        </w:rPr>
        <w:t xml:space="preserve"> </w:t>
      </w:r>
      <w:r w:rsidR="005E4CBF" w:rsidRPr="005A71D9">
        <w:rPr>
          <w:rFonts w:ascii="Palatino Linotype" w:hAnsi="Palatino Linotype"/>
          <w:sz w:val="22"/>
          <w:szCs w:val="22"/>
        </w:rPr>
        <w:t>Agar data yang</w:t>
      </w:r>
      <w:r w:rsidR="005E4CBF" w:rsidRPr="005E4CBF">
        <w:rPr>
          <w:rFonts w:ascii="Palatino Linotype" w:hAnsi="Palatino Linotype"/>
          <w:sz w:val="22"/>
          <w:szCs w:val="22"/>
        </w:rPr>
        <w:t xml:space="preserve"> dihasilkan baik perlu dilakukan proses </w:t>
      </w:r>
      <w:r w:rsidR="005E4CBF" w:rsidRPr="005E4CBF">
        <w:rPr>
          <w:rFonts w:ascii="Palatino Linotype" w:hAnsi="Palatino Linotype"/>
          <w:i/>
          <w:sz w:val="22"/>
          <w:szCs w:val="22"/>
        </w:rPr>
        <w:t>smoothing</w:t>
      </w:r>
      <w:r w:rsidR="005E4CBF">
        <w:rPr>
          <w:rFonts w:ascii="Palatino Linotype" w:hAnsi="Palatino Linotype"/>
          <w:sz w:val="22"/>
          <w:szCs w:val="22"/>
          <w:lang w:val="en-US"/>
        </w:rPr>
        <w:t xml:space="preserve"> data</w:t>
      </w:r>
      <w:r w:rsidR="005E4CBF" w:rsidRPr="005E4CBF">
        <w:rPr>
          <w:rFonts w:ascii="Palatino Linotype" w:hAnsi="Palatino Linotype"/>
          <w:sz w:val="22"/>
          <w:szCs w:val="22"/>
        </w:rPr>
        <w:t xml:space="preserve">. </w:t>
      </w:r>
      <w:r w:rsidR="005E4CBF" w:rsidRPr="005E4CBF">
        <w:rPr>
          <w:rFonts w:ascii="Palatino Linotype" w:hAnsi="Palatino Linotype"/>
          <w:sz w:val="22"/>
          <w:szCs w:val="22"/>
        </w:rPr>
        <w:t xml:space="preserve">Proses </w:t>
      </w:r>
      <w:r w:rsidR="005E4CBF" w:rsidRPr="005E4CBF">
        <w:rPr>
          <w:rFonts w:ascii="Palatino Linotype" w:hAnsi="Palatino Linotype"/>
          <w:i/>
          <w:sz w:val="22"/>
          <w:szCs w:val="22"/>
        </w:rPr>
        <w:t>smoothing</w:t>
      </w:r>
      <w:r w:rsidR="005E4CBF" w:rsidRPr="005E4CBF">
        <w:rPr>
          <w:rFonts w:ascii="Palatino Linotype" w:hAnsi="Palatino Linotype"/>
          <w:sz w:val="22"/>
          <w:szCs w:val="22"/>
        </w:rPr>
        <w:t xml:space="preserve"> </w:t>
      </w:r>
      <w:r w:rsidR="005E4CBF">
        <w:rPr>
          <w:rFonts w:ascii="Palatino Linotype" w:hAnsi="Palatino Linotype"/>
          <w:sz w:val="22"/>
          <w:szCs w:val="22"/>
          <w:lang w:val="en-US"/>
        </w:rPr>
        <w:t>yang digunakan adalah dengan m</w:t>
      </w:r>
      <w:r w:rsidR="005E4CBF">
        <w:rPr>
          <w:rFonts w:ascii="Palatino Linotype" w:hAnsi="Palatino Linotype"/>
          <w:sz w:val="22"/>
          <w:szCs w:val="22"/>
        </w:rPr>
        <w:t>emilih</w:t>
      </w:r>
      <w:r w:rsidR="005E4CBF" w:rsidRPr="005E4CBF">
        <w:rPr>
          <w:rFonts w:ascii="Palatino Linotype" w:hAnsi="Palatino Linotype"/>
          <w:sz w:val="22"/>
          <w:szCs w:val="22"/>
        </w:rPr>
        <w:t xml:space="preserve"> </w:t>
      </w:r>
      <w:r w:rsidR="005E4CBF" w:rsidRPr="005E4CBF">
        <w:rPr>
          <w:rFonts w:ascii="Palatino Linotype" w:hAnsi="Palatino Linotype"/>
          <w:i/>
          <w:sz w:val="22"/>
          <w:szCs w:val="22"/>
        </w:rPr>
        <w:t>bandwidth</w:t>
      </w:r>
      <w:r w:rsidR="005E4CBF" w:rsidRPr="005E4CBF">
        <w:rPr>
          <w:rFonts w:ascii="Palatino Linotype" w:hAnsi="Palatino Linotype"/>
          <w:sz w:val="22"/>
          <w:szCs w:val="22"/>
        </w:rPr>
        <w:t xml:space="preserve"> (</w:t>
      </w:r>
      <w:r w:rsidR="005E4CBF" w:rsidRPr="005E4CBF">
        <w:rPr>
          <w:rFonts w:ascii="Palatino Linotype" w:hAnsi="Palatino Linotype"/>
          <w:i/>
          <w:sz w:val="22"/>
          <w:szCs w:val="22"/>
        </w:rPr>
        <w:t>b</w:t>
      </w:r>
      <w:r w:rsidR="005E4CBF" w:rsidRPr="005E4CBF">
        <w:rPr>
          <w:rFonts w:ascii="Palatino Linotype" w:hAnsi="Palatino Linotype"/>
          <w:sz w:val="22"/>
          <w:szCs w:val="22"/>
        </w:rPr>
        <w:t xml:space="preserve">) yang direkomendasikan </w:t>
      </w:r>
      <w:r w:rsidR="005E4CBF">
        <w:rPr>
          <w:rFonts w:ascii="Palatino Linotype" w:hAnsi="Palatino Linotype"/>
          <w:sz w:val="22"/>
          <w:szCs w:val="22"/>
          <w:lang w:val="en-US"/>
        </w:rPr>
        <w:t xml:space="preserve">oleh </w:t>
      </w:r>
      <w:r w:rsidR="005E4CBF" w:rsidRPr="005A71D9">
        <w:rPr>
          <w:rFonts w:ascii="Palatino Linotype" w:hAnsi="Palatino Linotype"/>
          <w:sz w:val="22"/>
          <w:szCs w:val="22"/>
        </w:rPr>
        <w:t xml:space="preserve">Konno </w:t>
      </w:r>
      <w:r w:rsidR="00A23E7D" w:rsidRPr="005A71D9">
        <w:rPr>
          <w:rFonts w:ascii="Palatino Linotype" w:hAnsi="Palatino Linotype"/>
          <w:sz w:val="22"/>
          <w:szCs w:val="22"/>
          <w:lang w:val="en-US"/>
        </w:rPr>
        <w:t>&amp;</w:t>
      </w:r>
      <w:r w:rsidR="005E4CBF" w:rsidRPr="005A71D9">
        <w:rPr>
          <w:rFonts w:ascii="Palatino Linotype" w:hAnsi="Palatino Linotype"/>
          <w:sz w:val="22"/>
          <w:szCs w:val="22"/>
        </w:rPr>
        <w:t xml:space="preserve"> Ohmachi (1988)</w:t>
      </w:r>
      <w:r w:rsidR="005E4CBF" w:rsidRPr="005A71D9">
        <w:rPr>
          <w:rFonts w:ascii="Palatino Linotype" w:hAnsi="Palatino Linotype"/>
          <w:sz w:val="22"/>
          <w:szCs w:val="22"/>
          <w:lang w:val="en-US"/>
        </w:rPr>
        <w:t xml:space="preserve"> yaitu </w:t>
      </w:r>
      <w:r w:rsidR="005E4CBF" w:rsidRPr="005A71D9">
        <w:rPr>
          <w:rFonts w:ascii="Palatino Linotype" w:hAnsi="Palatino Linotype"/>
          <w:sz w:val="22"/>
          <w:szCs w:val="22"/>
        </w:rPr>
        <w:t>40</w:t>
      </w:r>
      <w:r w:rsidR="005E4CBF" w:rsidRPr="005A71D9">
        <w:rPr>
          <w:rFonts w:ascii="Palatino Linotype" w:hAnsi="Palatino Linotype"/>
          <w:sz w:val="22"/>
          <w:szCs w:val="22"/>
          <w:lang w:val="en-US"/>
        </w:rPr>
        <w:t xml:space="preserve">. </w:t>
      </w:r>
    </w:p>
    <w:p w:rsidR="0092016E" w:rsidRPr="00210C9C" w:rsidRDefault="0092016E" w:rsidP="0092016E">
      <w:pPr>
        <w:autoSpaceDE w:val="0"/>
        <w:autoSpaceDN w:val="0"/>
        <w:adjustRightInd w:val="0"/>
        <w:ind w:firstLine="450"/>
        <w:jc w:val="both"/>
        <w:rPr>
          <w:rFonts w:ascii="Palatino Linotype" w:hAnsi="Palatino Linotype"/>
          <w:sz w:val="22"/>
          <w:szCs w:val="22"/>
          <w:lang w:val="en-US"/>
        </w:rPr>
      </w:pPr>
      <w:r w:rsidRPr="005A71D9">
        <w:rPr>
          <w:rFonts w:ascii="Palatino Linotype" w:hAnsi="Palatino Linotype"/>
          <w:sz w:val="22"/>
          <w:szCs w:val="22"/>
        </w:rPr>
        <w:t xml:space="preserve">Pengolahan data selanjutnya berupa analisis kurva HVSR. </w:t>
      </w:r>
      <w:r w:rsidRPr="005A71D9">
        <w:rPr>
          <w:rStyle w:val="fullpost"/>
          <w:rFonts w:ascii="Palatino Linotype" w:hAnsi="Palatino Linotype"/>
          <w:i/>
          <w:sz w:val="22"/>
          <w:szCs w:val="22"/>
        </w:rPr>
        <w:t>Output</w:t>
      </w:r>
      <w:r w:rsidRPr="005A71D9">
        <w:rPr>
          <w:rStyle w:val="fullpost"/>
          <w:rFonts w:ascii="Palatino Linotype" w:hAnsi="Palatino Linotype"/>
          <w:sz w:val="22"/>
          <w:szCs w:val="22"/>
        </w:rPr>
        <w:t xml:space="preserve"> dari metode HVSR berupa </w:t>
      </w:r>
      <w:r w:rsidR="002053B9" w:rsidRPr="005A71D9">
        <w:rPr>
          <w:rStyle w:val="fullpost"/>
          <w:rFonts w:ascii="Palatino Linotype" w:hAnsi="Palatino Linotype"/>
          <w:sz w:val="22"/>
          <w:szCs w:val="22"/>
          <w:lang w:val="en-US"/>
        </w:rPr>
        <w:t xml:space="preserve">nilai </w:t>
      </w:r>
      <w:r w:rsidRPr="005A71D9">
        <w:rPr>
          <w:rStyle w:val="fullpost"/>
          <w:rFonts w:ascii="Palatino Linotype" w:hAnsi="Palatino Linotype"/>
          <w:sz w:val="22"/>
          <w:szCs w:val="22"/>
        </w:rPr>
        <w:t>frekuensi dominan tanah (</w:t>
      </w:r>
      <w:r w:rsidRPr="005A71D9">
        <w:rPr>
          <w:rStyle w:val="fullpost"/>
          <w:rFonts w:ascii="Palatino Linotype" w:hAnsi="Palatino Linotype"/>
          <w:i/>
          <w:sz w:val="22"/>
          <w:szCs w:val="22"/>
        </w:rPr>
        <w:t>f</w:t>
      </w:r>
      <w:r w:rsidRPr="005A71D9">
        <w:rPr>
          <w:rStyle w:val="fullpost"/>
          <w:rFonts w:ascii="Palatino Linotype" w:hAnsi="Palatino Linotype"/>
          <w:sz w:val="22"/>
          <w:szCs w:val="22"/>
          <w:vertAlign w:val="subscript"/>
        </w:rPr>
        <w:t>g</w:t>
      </w:r>
      <w:r w:rsidRPr="005A71D9">
        <w:rPr>
          <w:rStyle w:val="fullpost"/>
          <w:rFonts w:ascii="Palatino Linotype" w:hAnsi="Palatino Linotype"/>
          <w:sz w:val="22"/>
          <w:szCs w:val="22"/>
        </w:rPr>
        <w:t>) dan nilai amplifikasi (</w:t>
      </w:r>
      <w:r w:rsidRPr="005A71D9">
        <w:rPr>
          <w:rStyle w:val="fullpost"/>
          <w:rFonts w:ascii="Palatino Linotype" w:hAnsi="Palatino Linotype"/>
          <w:i/>
          <w:sz w:val="22"/>
          <w:szCs w:val="22"/>
        </w:rPr>
        <w:t>A</w:t>
      </w:r>
      <w:r w:rsidRPr="005A71D9">
        <w:rPr>
          <w:rStyle w:val="fullpost"/>
          <w:rFonts w:ascii="Palatino Linotype" w:hAnsi="Palatino Linotype"/>
          <w:sz w:val="22"/>
          <w:szCs w:val="22"/>
          <w:vertAlign w:val="subscript"/>
        </w:rPr>
        <w:t>g</w:t>
      </w:r>
      <w:r w:rsidRPr="005A71D9">
        <w:rPr>
          <w:rStyle w:val="fullpost"/>
          <w:rFonts w:ascii="Palatino Linotype" w:hAnsi="Palatino Linotype"/>
          <w:sz w:val="22"/>
          <w:szCs w:val="22"/>
        </w:rPr>
        <w:t xml:space="preserve">) di </w:t>
      </w:r>
      <w:r w:rsidR="002053B9" w:rsidRPr="005A71D9">
        <w:rPr>
          <w:rStyle w:val="fullpost"/>
          <w:rFonts w:ascii="Palatino Linotype" w:hAnsi="Palatino Linotype"/>
          <w:sz w:val="22"/>
          <w:szCs w:val="22"/>
          <w:lang w:val="en-US"/>
        </w:rPr>
        <w:t xml:space="preserve">masing-masing </w:t>
      </w:r>
      <w:r w:rsidRPr="005A71D9">
        <w:rPr>
          <w:rStyle w:val="fullpost"/>
          <w:rFonts w:ascii="Palatino Linotype" w:hAnsi="Palatino Linotype"/>
          <w:sz w:val="22"/>
          <w:szCs w:val="22"/>
        </w:rPr>
        <w:t xml:space="preserve">lokasi penelitian. </w:t>
      </w:r>
      <w:r w:rsidR="002053B9" w:rsidRPr="005A71D9">
        <w:rPr>
          <w:rStyle w:val="fullpost"/>
          <w:rFonts w:ascii="Palatino Linotype" w:hAnsi="Palatino Linotype"/>
          <w:sz w:val="22"/>
          <w:szCs w:val="22"/>
          <w:lang w:val="en-US"/>
        </w:rPr>
        <w:t xml:space="preserve">Nilai </w:t>
      </w:r>
      <w:r w:rsidR="002053B9" w:rsidRPr="005A71D9">
        <w:rPr>
          <w:rStyle w:val="fullpost"/>
          <w:rFonts w:ascii="Palatino Linotype" w:hAnsi="Palatino Linotype"/>
          <w:i/>
          <w:sz w:val="22"/>
          <w:szCs w:val="22"/>
        </w:rPr>
        <w:t>f</w:t>
      </w:r>
      <w:r w:rsidR="002053B9" w:rsidRPr="005A71D9">
        <w:rPr>
          <w:rStyle w:val="fullpost"/>
          <w:rFonts w:ascii="Palatino Linotype" w:hAnsi="Palatino Linotype"/>
          <w:sz w:val="22"/>
          <w:szCs w:val="22"/>
          <w:vertAlign w:val="subscript"/>
        </w:rPr>
        <w:t>g</w:t>
      </w:r>
      <w:r w:rsidR="002053B9" w:rsidRPr="005A71D9">
        <w:rPr>
          <w:rStyle w:val="fullpost"/>
          <w:rFonts w:ascii="Palatino Linotype" w:hAnsi="Palatino Linotype"/>
          <w:sz w:val="22"/>
          <w:szCs w:val="22"/>
        </w:rPr>
        <w:t xml:space="preserve">) dan </w:t>
      </w:r>
      <w:r w:rsidR="002053B9" w:rsidRPr="005A71D9">
        <w:rPr>
          <w:rStyle w:val="fullpost"/>
          <w:rFonts w:ascii="Palatino Linotype" w:hAnsi="Palatino Linotype"/>
          <w:i/>
          <w:sz w:val="22"/>
          <w:szCs w:val="22"/>
        </w:rPr>
        <w:t>A</w:t>
      </w:r>
      <w:r w:rsidR="002053B9" w:rsidRPr="005A71D9">
        <w:rPr>
          <w:rStyle w:val="fullpost"/>
          <w:rFonts w:ascii="Palatino Linotype" w:hAnsi="Palatino Linotype"/>
          <w:sz w:val="22"/>
          <w:szCs w:val="22"/>
          <w:vertAlign w:val="subscript"/>
        </w:rPr>
        <w:t>g</w:t>
      </w:r>
      <w:r w:rsidR="002053B9" w:rsidRPr="005A71D9">
        <w:rPr>
          <w:rStyle w:val="fullpost"/>
          <w:rFonts w:ascii="Palatino Linotype" w:hAnsi="Palatino Linotype"/>
          <w:sz w:val="22"/>
          <w:szCs w:val="22"/>
          <w:vertAlign w:val="subscript"/>
          <w:lang w:val="en-US"/>
        </w:rPr>
        <w:t xml:space="preserve"> </w:t>
      </w:r>
      <w:proofErr w:type="gramStart"/>
      <w:r w:rsidR="002053B9" w:rsidRPr="005A71D9">
        <w:rPr>
          <w:rStyle w:val="fullpost"/>
          <w:rFonts w:ascii="Palatino Linotype" w:hAnsi="Palatino Linotype"/>
          <w:sz w:val="22"/>
          <w:szCs w:val="22"/>
          <w:lang w:val="en-US"/>
        </w:rPr>
        <w:t>ini</w:t>
      </w:r>
      <w:r w:rsidR="002053B9" w:rsidRPr="005A71D9">
        <w:rPr>
          <w:rStyle w:val="fullpost"/>
          <w:rFonts w:ascii="Palatino Linotype" w:hAnsi="Palatino Linotype"/>
          <w:sz w:val="22"/>
          <w:szCs w:val="22"/>
          <w:vertAlign w:val="subscript"/>
          <w:lang w:val="en-US"/>
        </w:rPr>
        <w:t xml:space="preserve"> </w:t>
      </w:r>
      <w:r w:rsidR="002053B9" w:rsidRPr="005A71D9">
        <w:rPr>
          <w:rStyle w:val="fullpost"/>
          <w:rFonts w:ascii="Palatino Linotype" w:hAnsi="Palatino Linotype"/>
          <w:sz w:val="22"/>
          <w:szCs w:val="22"/>
        </w:rPr>
        <w:t xml:space="preserve"> </w:t>
      </w:r>
      <w:r w:rsidRPr="005A71D9">
        <w:rPr>
          <w:rStyle w:val="fullpost"/>
          <w:rFonts w:ascii="Palatino Linotype" w:hAnsi="Palatino Linotype"/>
          <w:sz w:val="22"/>
          <w:szCs w:val="22"/>
        </w:rPr>
        <w:t>digunakan</w:t>
      </w:r>
      <w:proofErr w:type="gramEnd"/>
      <w:r w:rsidRPr="005A71D9">
        <w:rPr>
          <w:rStyle w:val="fullpost"/>
          <w:rFonts w:ascii="Palatino Linotype" w:hAnsi="Palatino Linotype"/>
          <w:sz w:val="22"/>
          <w:szCs w:val="22"/>
        </w:rPr>
        <w:t xml:space="preserve"> sebagai parameter </w:t>
      </w:r>
      <w:r w:rsidRPr="005A71D9">
        <w:rPr>
          <w:rStyle w:val="fullpost"/>
          <w:rFonts w:ascii="Palatino Linotype" w:hAnsi="Palatino Linotype"/>
          <w:i/>
          <w:sz w:val="22"/>
          <w:szCs w:val="22"/>
        </w:rPr>
        <w:t xml:space="preserve">input </w:t>
      </w:r>
      <w:r w:rsidRPr="005A71D9">
        <w:rPr>
          <w:rStyle w:val="fullpost"/>
          <w:rFonts w:ascii="Palatino Linotype" w:hAnsi="Palatino Linotype"/>
          <w:sz w:val="22"/>
          <w:szCs w:val="22"/>
        </w:rPr>
        <w:t xml:space="preserve">untuk menghasilkan </w:t>
      </w:r>
      <w:r w:rsidRPr="005A71D9">
        <w:rPr>
          <w:rFonts w:ascii="Palatino Linotype" w:hAnsi="Palatino Linotype"/>
          <w:sz w:val="22"/>
          <w:szCs w:val="22"/>
        </w:rPr>
        <w:t>nilai GSS (</w:t>
      </w:r>
      <w:r w:rsidRPr="005A71D9">
        <w:rPr>
          <w:rStyle w:val="reference-text"/>
          <w:rFonts w:ascii="Palatino Linotype" w:hAnsi="Palatino Linotype"/>
          <w:i/>
          <w:sz w:val="22"/>
          <w:szCs w:val="22"/>
        </w:rPr>
        <w:t>γ</w:t>
      </w:r>
      <w:r w:rsidRPr="005A71D9">
        <w:rPr>
          <w:rFonts w:ascii="Palatino Linotype" w:hAnsi="Palatino Linotype"/>
          <w:sz w:val="22"/>
          <w:szCs w:val="22"/>
        </w:rPr>
        <w:t xml:space="preserve">) di permukaan tanah dengan menggunakan persamaan </w:t>
      </w:r>
      <w:r w:rsidRPr="005A71D9">
        <w:rPr>
          <w:rStyle w:val="reference-text"/>
          <w:rFonts w:ascii="Palatino Linotype" w:hAnsi="Palatino Linotype"/>
          <w:sz w:val="22"/>
          <w:szCs w:val="22"/>
        </w:rPr>
        <w:t>(Nakamura</w:t>
      </w:r>
      <w:r w:rsidR="00210C9C" w:rsidRPr="005A71D9">
        <w:rPr>
          <w:rStyle w:val="reference-text"/>
          <w:rFonts w:ascii="Palatino Linotype" w:hAnsi="Palatino Linotype"/>
          <w:sz w:val="22"/>
          <w:szCs w:val="22"/>
          <w:lang w:val="en-US"/>
        </w:rPr>
        <w:t>,</w:t>
      </w:r>
      <w:r w:rsidR="00210C9C" w:rsidRPr="005A71D9">
        <w:rPr>
          <w:rStyle w:val="reference-text"/>
          <w:rFonts w:ascii="Palatino Linotype" w:hAnsi="Palatino Linotype"/>
          <w:sz w:val="22"/>
          <w:szCs w:val="22"/>
        </w:rPr>
        <w:t xml:space="preserve"> </w:t>
      </w:r>
      <w:r w:rsidR="00210C9C" w:rsidRPr="005A71D9">
        <w:rPr>
          <w:rFonts w:ascii="Palatino Linotype" w:hAnsi="Palatino Linotype"/>
          <w:sz w:val="22"/>
          <w:szCs w:val="22"/>
          <w:lang w:val="sv-SE"/>
        </w:rPr>
        <w:t>Saita, &amp; Sato</w:t>
      </w:r>
      <w:r w:rsidR="00210C9C" w:rsidRPr="005A71D9">
        <w:rPr>
          <w:rStyle w:val="reference-text"/>
          <w:rFonts w:ascii="Palatino Linotype" w:hAnsi="Palatino Linotype"/>
          <w:sz w:val="22"/>
          <w:szCs w:val="22"/>
        </w:rPr>
        <w:t>, 2003</w:t>
      </w:r>
      <w:r w:rsidR="00210C9C" w:rsidRPr="005A71D9">
        <w:rPr>
          <w:rStyle w:val="reference-text"/>
          <w:rFonts w:ascii="Palatino Linotype" w:hAnsi="Palatino Linotype"/>
          <w:sz w:val="22"/>
          <w:szCs w:val="22"/>
          <w:lang w:val="en-US"/>
        </w:rPr>
        <w:t xml:space="preserve"> </w:t>
      </w:r>
      <w:r w:rsidRPr="005A71D9">
        <w:rPr>
          <w:rStyle w:val="reference-text"/>
          <w:rFonts w:ascii="Palatino Linotype" w:hAnsi="Palatino Linotype"/>
          <w:sz w:val="22"/>
          <w:szCs w:val="22"/>
        </w:rPr>
        <w:t>dan Nakamura, 2008)</w:t>
      </w:r>
      <w:r w:rsidR="002053B9" w:rsidRPr="005A71D9">
        <w:rPr>
          <w:rStyle w:val="reference-text"/>
          <w:rFonts w:ascii="Palatino Linotype" w:hAnsi="Palatino Linotype"/>
          <w:sz w:val="22"/>
          <w:szCs w:val="22"/>
        </w:rPr>
        <w:t>:</w:t>
      </w:r>
    </w:p>
    <w:tbl>
      <w:tblPr>
        <w:tblStyle w:val="TableGrid"/>
        <w:tblW w:w="4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2"/>
        <w:gridCol w:w="473"/>
      </w:tblGrid>
      <w:tr w:rsidR="00014326" w:rsidTr="00014326">
        <w:tc>
          <w:tcPr>
            <w:tcW w:w="4202" w:type="dxa"/>
          </w:tcPr>
          <w:p w:rsidR="00014326" w:rsidRPr="00014326" w:rsidRDefault="00FD1C96" w:rsidP="00FD1C96">
            <w:pPr>
              <w:pStyle w:val="Fluxisi"/>
              <w:ind w:firstLine="432"/>
              <w:rPr>
                <w:rFonts w:ascii="Cambria Math" w:hAnsi="Cambria Math"/>
                <w:szCs w:val="22"/>
                <w:lang w:val="en-US"/>
              </w:rPr>
            </w:pPr>
            <w:r w:rsidRPr="00FD1C96">
              <w:rPr>
                <w:rFonts w:ascii="Cambria Math" w:hAnsi="Cambria Math"/>
                <w:position w:val="-40"/>
                <w:szCs w:val="22"/>
              </w:rPr>
              <w:object w:dxaOrig="2600" w:dyaOrig="980">
                <v:shape id="_x0000_i1026" type="#_x0000_t75" style="width:129.75pt;height:48.9pt" o:ole="">
                  <v:imagedata r:id="rId13" o:title=""/>
                </v:shape>
                <o:OLEObject Type="Embed" ProgID="Equation.DSMT4" ShapeID="_x0000_i1026" DrawAspect="Content" ObjectID="_1666683503" r:id="rId14"/>
              </w:object>
            </w:r>
            <w:r w:rsidR="00014326" w:rsidRPr="00014326">
              <w:rPr>
                <w:rFonts w:ascii="Cambria Math" w:hAnsi="Cambria Math"/>
                <w:szCs w:val="22"/>
              </w:rPr>
              <w:t>,</w:t>
            </w:r>
          </w:p>
        </w:tc>
        <w:tc>
          <w:tcPr>
            <w:tcW w:w="473" w:type="dxa"/>
            <w:vAlign w:val="center"/>
          </w:tcPr>
          <w:p w:rsidR="00014326" w:rsidRDefault="00014326" w:rsidP="00014326">
            <w:pPr>
              <w:pStyle w:val="Fluxisi"/>
              <w:ind w:firstLine="0"/>
              <w:jc w:val="right"/>
              <w:rPr>
                <w:szCs w:val="22"/>
                <w:lang w:val="en-US"/>
              </w:rPr>
            </w:pPr>
            <w:r>
              <w:rPr>
                <w:szCs w:val="22"/>
                <w:lang w:val="en-US"/>
              </w:rPr>
              <w:t>(2)</w:t>
            </w:r>
          </w:p>
        </w:tc>
      </w:tr>
    </w:tbl>
    <w:p w:rsidR="003A20BC" w:rsidRDefault="00014326" w:rsidP="00014326">
      <w:pPr>
        <w:pStyle w:val="Fluxisi"/>
        <w:ind w:firstLine="0"/>
        <w:rPr>
          <w:bCs/>
          <w:szCs w:val="22"/>
          <w:lang w:val="en-US"/>
        </w:rPr>
      </w:pPr>
      <w:r w:rsidRPr="00014326">
        <w:rPr>
          <w:rStyle w:val="reference-text"/>
          <w:szCs w:val="22"/>
        </w:rPr>
        <w:t xml:space="preserve">dengan </w:t>
      </w:r>
      <w:r w:rsidRPr="00014326">
        <w:rPr>
          <w:rStyle w:val="reference-text"/>
          <w:i/>
          <w:szCs w:val="22"/>
        </w:rPr>
        <w:t>A</w:t>
      </w:r>
      <w:r w:rsidRPr="00014326">
        <w:rPr>
          <w:rStyle w:val="reference-text"/>
          <w:i/>
          <w:szCs w:val="22"/>
          <w:vertAlign w:val="subscript"/>
        </w:rPr>
        <w:t>g</w:t>
      </w:r>
      <w:r w:rsidRPr="00014326">
        <w:rPr>
          <w:rStyle w:val="reference-text"/>
          <w:szCs w:val="22"/>
        </w:rPr>
        <w:t xml:space="preserve"> adalah faktor amplifikasi, </w:t>
      </w:r>
      <w:r w:rsidRPr="00014326">
        <w:rPr>
          <w:rStyle w:val="reference-text"/>
          <w:i/>
          <w:szCs w:val="22"/>
        </w:rPr>
        <w:t>f</w:t>
      </w:r>
      <w:r w:rsidRPr="00014326">
        <w:rPr>
          <w:rStyle w:val="reference-text"/>
          <w:i/>
          <w:szCs w:val="22"/>
          <w:vertAlign w:val="subscript"/>
        </w:rPr>
        <w:t>g</w:t>
      </w:r>
      <w:r w:rsidRPr="00014326">
        <w:rPr>
          <w:rStyle w:val="reference-text"/>
          <w:szCs w:val="22"/>
        </w:rPr>
        <w:t xml:space="preserve"> adalah frekuensi dominan, </w:t>
      </w:r>
      <w:r w:rsidRPr="00014326">
        <w:rPr>
          <w:rStyle w:val="reference-text"/>
          <w:i/>
          <w:szCs w:val="22"/>
        </w:rPr>
        <w:t>V</w:t>
      </w:r>
      <w:r w:rsidRPr="00014326">
        <w:rPr>
          <w:rStyle w:val="reference-text"/>
          <w:i/>
          <w:szCs w:val="22"/>
          <w:vertAlign w:val="subscript"/>
        </w:rPr>
        <w:t>b</w:t>
      </w:r>
      <w:r w:rsidRPr="00014326">
        <w:rPr>
          <w:rStyle w:val="reference-text"/>
          <w:szCs w:val="22"/>
        </w:rPr>
        <w:t xml:space="preserve"> adalah kecepatan </w:t>
      </w:r>
      <w:r w:rsidRPr="00014326">
        <w:rPr>
          <w:szCs w:val="22"/>
        </w:rPr>
        <w:t>gelombang geser di batuan batuan dasar</w:t>
      </w:r>
      <w:r w:rsidRPr="00014326">
        <w:rPr>
          <w:rStyle w:val="reference-text"/>
          <w:szCs w:val="22"/>
        </w:rPr>
        <w:t xml:space="preserve">, dan </w:t>
      </w:r>
      <w:r w:rsidRPr="00014326">
        <w:rPr>
          <w:rStyle w:val="reference-text"/>
          <w:i/>
          <w:szCs w:val="22"/>
        </w:rPr>
        <w:t>a</w:t>
      </w:r>
      <w:r w:rsidRPr="00014326">
        <w:rPr>
          <w:rStyle w:val="reference-text"/>
          <w:szCs w:val="22"/>
          <w:vertAlign w:val="subscript"/>
        </w:rPr>
        <w:t>max</w:t>
      </w:r>
      <w:r w:rsidRPr="00014326">
        <w:rPr>
          <w:rStyle w:val="reference-text"/>
          <w:szCs w:val="22"/>
        </w:rPr>
        <w:t xml:space="preserve"> merupakan PGA di batuan dasar yang diperoleh dari </w:t>
      </w:r>
      <w:r w:rsidRPr="00014326">
        <w:rPr>
          <w:bCs/>
          <w:szCs w:val="22"/>
        </w:rPr>
        <w:t>pendekatan teori probabilitas total</w:t>
      </w:r>
      <w:r>
        <w:rPr>
          <w:bCs/>
          <w:szCs w:val="22"/>
          <w:lang w:val="en-US"/>
        </w:rPr>
        <w:t>.</w:t>
      </w:r>
    </w:p>
    <w:p w:rsidR="00363C50" w:rsidRPr="00363C50" w:rsidRDefault="00363C50" w:rsidP="00363C50">
      <w:pPr>
        <w:ind w:firstLine="450"/>
        <w:jc w:val="both"/>
        <w:rPr>
          <w:rFonts w:ascii="Palatino Linotype" w:hAnsi="Palatino Linotype"/>
          <w:sz w:val="22"/>
          <w:szCs w:val="22"/>
        </w:rPr>
      </w:pPr>
      <w:r w:rsidRPr="00363C50">
        <w:rPr>
          <w:rFonts w:ascii="Palatino Linotype" w:hAnsi="Palatino Linotype"/>
          <w:sz w:val="22"/>
          <w:szCs w:val="22"/>
        </w:rPr>
        <w:t xml:space="preserve">Rekaman data mikrotremor yang diperoleh di lapangan kemudian dianalisis spektrum gelombangnya menggunakan </w:t>
      </w:r>
      <w:r w:rsidRPr="00363C50">
        <w:rPr>
          <w:rFonts w:ascii="Palatino Linotype" w:hAnsi="Palatino Linotype"/>
          <w:i/>
          <w:sz w:val="22"/>
          <w:szCs w:val="22"/>
        </w:rPr>
        <w:t>Software</w:t>
      </w:r>
      <w:r w:rsidRPr="00363C50">
        <w:rPr>
          <w:rFonts w:ascii="Palatino Linotype" w:hAnsi="Palatino Linotype"/>
          <w:sz w:val="22"/>
          <w:szCs w:val="22"/>
        </w:rPr>
        <w:t xml:space="preserve"> win-MASW 5.2 HVSR dari PASI, Torino</w:t>
      </w:r>
      <w:r w:rsidRPr="0018461A">
        <w:rPr>
          <w:rFonts w:ascii="Palatino Linotype" w:hAnsi="Palatino Linotype"/>
          <w:sz w:val="22"/>
          <w:szCs w:val="22"/>
        </w:rPr>
        <w:t xml:space="preserve">, Italy (PASI, 2013). </w:t>
      </w:r>
      <w:r w:rsidRPr="0018461A">
        <w:rPr>
          <w:rFonts w:ascii="Palatino Linotype" w:hAnsi="Palatino Linotype"/>
          <w:i/>
          <w:sz w:val="22"/>
          <w:szCs w:val="22"/>
        </w:rPr>
        <w:t xml:space="preserve">Software </w:t>
      </w:r>
      <w:r w:rsidRPr="0018461A">
        <w:rPr>
          <w:rFonts w:ascii="Palatino Linotype" w:hAnsi="Palatino Linotype"/>
          <w:sz w:val="22"/>
          <w:szCs w:val="22"/>
        </w:rPr>
        <w:t xml:space="preserve">ini adalah program paket untuk mendapatkan nilai frekuensi dominan tanah dan amplifikasinya. Hasil program ini juga dapat diketahui reliabilititas data dan </w:t>
      </w:r>
      <w:r w:rsidRPr="0018461A">
        <w:rPr>
          <w:rFonts w:ascii="Palatino Linotype" w:hAnsi="Palatino Linotype"/>
          <w:i/>
          <w:sz w:val="22"/>
          <w:szCs w:val="22"/>
        </w:rPr>
        <w:t>clear</w:t>
      </w:r>
      <w:r w:rsidRPr="0018461A">
        <w:rPr>
          <w:rFonts w:ascii="Palatino Linotype" w:hAnsi="Palatino Linotype"/>
          <w:sz w:val="22"/>
          <w:szCs w:val="22"/>
        </w:rPr>
        <w:t xml:space="preserve"> puncak H/V-nya pada tiap-tiap lokasi penelitian, sehingga data yang digunakan merupakan data yang </w:t>
      </w:r>
      <w:r w:rsidRPr="0018461A">
        <w:rPr>
          <w:rFonts w:ascii="Palatino Linotype" w:hAnsi="Palatino Linotype"/>
          <w:i/>
          <w:sz w:val="22"/>
          <w:szCs w:val="22"/>
        </w:rPr>
        <w:t>reliable</w:t>
      </w:r>
      <w:r w:rsidRPr="0018461A">
        <w:rPr>
          <w:rFonts w:ascii="Palatino Linotype" w:hAnsi="Palatino Linotype"/>
          <w:sz w:val="22"/>
          <w:szCs w:val="22"/>
        </w:rPr>
        <w:t xml:space="preserve"> (SESAME, 2004).</w:t>
      </w:r>
    </w:p>
    <w:p w:rsidR="00FD1C96" w:rsidRDefault="00FD1C96" w:rsidP="00FD1C96">
      <w:pPr>
        <w:ind w:firstLine="450"/>
        <w:jc w:val="both"/>
        <w:rPr>
          <w:rStyle w:val="reference-text"/>
          <w:rFonts w:ascii="Palatino Linotype" w:hAnsi="Palatino Linotype"/>
          <w:sz w:val="22"/>
          <w:szCs w:val="22"/>
          <w:lang w:val="en-US"/>
        </w:rPr>
      </w:pPr>
      <w:r w:rsidRPr="00FD1C96">
        <w:rPr>
          <w:rFonts w:ascii="Palatino Linotype" w:hAnsi="Palatino Linotype"/>
          <w:sz w:val="22"/>
          <w:szCs w:val="22"/>
        </w:rPr>
        <w:t>Setelah diperoleh GSS, maka langkah selanjutnya adalah menentukan ketebalan lapisan sedimen. Untuk mendapatkan ketebalan lapisan sedimen (</w:t>
      </w:r>
      <w:r w:rsidRPr="00FD1C96">
        <w:rPr>
          <w:rFonts w:ascii="Palatino Linotype" w:hAnsi="Palatino Linotype"/>
          <w:i/>
          <w:sz w:val="22"/>
          <w:szCs w:val="22"/>
        </w:rPr>
        <w:t>h</w:t>
      </w:r>
      <w:r w:rsidRPr="00FD1C96">
        <w:rPr>
          <w:rFonts w:ascii="Palatino Linotype" w:hAnsi="Palatino Linotype"/>
          <w:sz w:val="22"/>
          <w:szCs w:val="22"/>
        </w:rPr>
        <w:t xml:space="preserve">) yang berkaitan dengan </w:t>
      </w:r>
      <w:r w:rsidRPr="00FD1C96">
        <w:rPr>
          <w:rFonts w:ascii="Palatino Linotype" w:hAnsi="Palatino Linotype"/>
          <w:i/>
          <w:sz w:val="22"/>
          <w:szCs w:val="22"/>
        </w:rPr>
        <w:t>local site effet</w:t>
      </w:r>
      <w:r w:rsidRPr="00FD1C96">
        <w:rPr>
          <w:rFonts w:ascii="Palatino Linotype" w:hAnsi="Palatino Linotype"/>
          <w:sz w:val="22"/>
          <w:szCs w:val="22"/>
        </w:rPr>
        <w:t xml:space="preserve"> diperoleh dari </w:t>
      </w:r>
      <w:r w:rsidRPr="00FD1C96">
        <w:rPr>
          <w:rStyle w:val="reference-text"/>
          <w:rFonts w:ascii="Palatino Linotype" w:hAnsi="Palatino Linotype"/>
          <w:sz w:val="22"/>
          <w:szCs w:val="22"/>
        </w:rPr>
        <w:t xml:space="preserve">konsep teknik perhitungan nilai GSS pada lapisan tanah permukaan ketika terjadi gempabumi sebagaimana dirumuskan oleh </w:t>
      </w:r>
      <w:r w:rsidR="009638F7" w:rsidRPr="000620D7">
        <w:rPr>
          <w:rStyle w:val="reference-text"/>
          <w:rFonts w:ascii="Palatino Linotype" w:hAnsi="Palatino Linotype"/>
          <w:sz w:val="22"/>
          <w:szCs w:val="22"/>
          <w:lang w:val="en-US"/>
        </w:rPr>
        <w:t>(</w:t>
      </w:r>
      <w:r w:rsidR="009638F7" w:rsidRPr="000620D7">
        <w:rPr>
          <w:rStyle w:val="reference-text"/>
          <w:rFonts w:ascii="Palatino Linotype" w:hAnsi="Palatino Linotype"/>
          <w:sz w:val="22"/>
          <w:szCs w:val="22"/>
        </w:rPr>
        <w:t>Nakamura</w:t>
      </w:r>
      <w:r w:rsidR="009638F7" w:rsidRPr="000620D7">
        <w:rPr>
          <w:rStyle w:val="reference-text"/>
          <w:rFonts w:ascii="Palatino Linotype" w:hAnsi="Palatino Linotype"/>
          <w:sz w:val="22"/>
          <w:szCs w:val="22"/>
          <w:lang w:val="en-US"/>
        </w:rPr>
        <w:t>,</w:t>
      </w:r>
      <w:r w:rsidR="009638F7" w:rsidRPr="000620D7">
        <w:rPr>
          <w:rStyle w:val="reference-text"/>
          <w:rFonts w:ascii="Palatino Linotype" w:hAnsi="Palatino Linotype"/>
          <w:sz w:val="22"/>
          <w:szCs w:val="22"/>
        </w:rPr>
        <w:t xml:space="preserve"> </w:t>
      </w:r>
      <w:r w:rsidR="009638F7" w:rsidRPr="000620D7">
        <w:rPr>
          <w:rFonts w:ascii="Palatino Linotype" w:hAnsi="Palatino Linotype"/>
          <w:sz w:val="22"/>
          <w:szCs w:val="22"/>
          <w:lang w:val="sv-SE"/>
        </w:rPr>
        <w:t>Saita, &amp; Sato</w:t>
      </w:r>
      <w:r w:rsidR="009638F7" w:rsidRPr="000620D7">
        <w:rPr>
          <w:rStyle w:val="reference-text"/>
          <w:rFonts w:ascii="Palatino Linotype" w:hAnsi="Palatino Linotype"/>
          <w:sz w:val="22"/>
          <w:szCs w:val="22"/>
        </w:rPr>
        <w:t>, 2003</w:t>
      </w:r>
      <w:r w:rsidR="009638F7" w:rsidRPr="000620D7">
        <w:rPr>
          <w:rStyle w:val="reference-text"/>
          <w:rFonts w:ascii="Palatino Linotype" w:hAnsi="Palatino Linotype"/>
          <w:sz w:val="22"/>
          <w:szCs w:val="22"/>
        </w:rPr>
        <w:t xml:space="preserve"> dan Nakamura, </w:t>
      </w:r>
      <w:r w:rsidRPr="000620D7">
        <w:rPr>
          <w:rStyle w:val="reference-text"/>
          <w:rFonts w:ascii="Palatino Linotype" w:hAnsi="Palatino Linotype"/>
          <w:sz w:val="22"/>
          <w:szCs w:val="22"/>
        </w:rPr>
        <w:t>2008)</w:t>
      </w:r>
      <w:r w:rsidRPr="000620D7">
        <w:rPr>
          <w:rStyle w:val="reference-text"/>
          <w:rFonts w:ascii="Palatino Linotype" w:hAnsi="Palatino Linotype"/>
          <w:sz w:val="22"/>
          <w:szCs w:val="22"/>
          <w:lang w:val="en-US"/>
        </w:rPr>
        <w:t>:</w:t>
      </w:r>
    </w:p>
    <w:tbl>
      <w:tblPr>
        <w:tblStyle w:val="TableGrid"/>
        <w:tblW w:w="4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2"/>
        <w:gridCol w:w="473"/>
      </w:tblGrid>
      <w:tr w:rsidR="00FD1C96" w:rsidTr="00FD1C96">
        <w:tc>
          <w:tcPr>
            <w:tcW w:w="4202" w:type="dxa"/>
          </w:tcPr>
          <w:p w:rsidR="00FD1C96" w:rsidRPr="00FD1C96" w:rsidRDefault="00FD1C96" w:rsidP="00FD1C96">
            <w:pPr>
              <w:pStyle w:val="Fluxisi"/>
              <w:ind w:firstLine="432"/>
              <w:rPr>
                <w:rFonts w:ascii="Cambria Math" w:hAnsi="Cambria Math"/>
                <w:szCs w:val="22"/>
                <w:lang w:val="en-US"/>
              </w:rPr>
            </w:pPr>
            <w:r w:rsidRPr="00FD1C96">
              <w:rPr>
                <w:rStyle w:val="reference-text"/>
                <w:rFonts w:ascii="Cambria Math" w:hAnsi="Cambria Math"/>
                <w:color w:val="FF0000"/>
                <w:szCs w:val="22"/>
              </w:rPr>
              <w:object w:dxaOrig="999" w:dyaOrig="720">
                <v:shape id="_x0000_i1027" type="#_x0000_t75" style="width:49.6pt;height:36pt" o:ole="">
                  <v:imagedata r:id="rId15" o:title=""/>
                </v:shape>
                <o:OLEObject Type="Embed" ProgID="Equation.DSMT4" ShapeID="_x0000_i1027" DrawAspect="Content" ObjectID="_1666683504" r:id="rId16"/>
              </w:object>
            </w:r>
          </w:p>
        </w:tc>
        <w:tc>
          <w:tcPr>
            <w:tcW w:w="473" w:type="dxa"/>
            <w:vAlign w:val="center"/>
          </w:tcPr>
          <w:p w:rsidR="00FD1C96" w:rsidRDefault="00FD1C96" w:rsidP="00FD1C96">
            <w:pPr>
              <w:pStyle w:val="Fluxisi"/>
              <w:ind w:firstLine="0"/>
              <w:jc w:val="right"/>
              <w:rPr>
                <w:szCs w:val="22"/>
                <w:lang w:val="en-US"/>
              </w:rPr>
            </w:pPr>
            <w:r>
              <w:rPr>
                <w:szCs w:val="22"/>
                <w:lang w:val="en-US"/>
              </w:rPr>
              <w:t>(3)</w:t>
            </w:r>
          </w:p>
        </w:tc>
      </w:tr>
    </w:tbl>
    <w:p w:rsidR="00FD1C96" w:rsidRDefault="008057FF" w:rsidP="00FD1C96">
      <w:pPr>
        <w:jc w:val="both"/>
        <w:rPr>
          <w:rStyle w:val="reference-text"/>
          <w:rFonts w:ascii="Palatino Linotype" w:hAnsi="Palatino Linotype"/>
          <w:sz w:val="22"/>
          <w:szCs w:val="22"/>
          <w:lang w:val="en-US"/>
        </w:rPr>
      </w:pPr>
      <w:r w:rsidRPr="008057FF">
        <w:rPr>
          <w:rStyle w:val="reference-text"/>
          <w:rFonts w:ascii="Palatino Linotype" w:hAnsi="Palatino Linotype"/>
          <w:sz w:val="22"/>
          <w:szCs w:val="22"/>
        </w:rPr>
        <w:lastRenderedPageBreak/>
        <w:t xml:space="preserve">dengan </w:t>
      </w:r>
      <w:r w:rsidRPr="008057FF">
        <w:rPr>
          <w:rStyle w:val="reference-text"/>
          <w:rFonts w:ascii="Palatino Linotype" w:hAnsi="Palatino Linotype"/>
          <w:i/>
          <w:sz w:val="22"/>
          <w:szCs w:val="22"/>
        </w:rPr>
        <w:t>V</w:t>
      </w:r>
      <w:r w:rsidRPr="008057FF">
        <w:rPr>
          <w:rStyle w:val="reference-text"/>
          <w:rFonts w:ascii="Palatino Linotype" w:hAnsi="Palatino Linotype"/>
          <w:i/>
          <w:sz w:val="22"/>
          <w:szCs w:val="22"/>
          <w:vertAlign w:val="subscript"/>
        </w:rPr>
        <w:t>s</w:t>
      </w:r>
      <w:r w:rsidRPr="008057FF">
        <w:rPr>
          <w:rStyle w:val="reference-text"/>
          <w:rFonts w:ascii="Palatino Linotype" w:hAnsi="Palatino Linotype"/>
          <w:sz w:val="22"/>
          <w:szCs w:val="22"/>
        </w:rPr>
        <w:t xml:space="preserve">  = kecepatan gelombang geser </w:t>
      </w:r>
      <w:r>
        <w:rPr>
          <w:rStyle w:val="reference-text"/>
          <w:rFonts w:ascii="Palatino Linotype" w:hAnsi="Palatino Linotype"/>
          <w:sz w:val="22"/>
          <w:szCs w:val="22"/>
        </w:rPr>
        <w:t xml:space="preserve">di sedimen, </w:t>
      </w:r>
      <w:r w:rsidRPr="008057FF">
        <w:rPr>
          <w:rStyle w:val="reference-text"/>
          <w:rFonts w:ascii="Palatino Linotype" w:hAnsi="Palatino Linotype"/>
          <w:sz w:val="22"/>
          <w:szCs w:val="22"/>
        </w:rPr>
        <w:t xml:space="preserve"> </w:t>
      </w:r>
      <w:r w:rsidRPr="008057FF">
        <w:rPr>
          <w:rStyle w:val="reference-text"/>
          <w:rFonts w:ascii="Palatino Linotype" w:hAnsi="Palatino Linotype"/>
          <w:i/>
          <w:sz w:val="22"/>
          <w:szCs w:val="22"/>
        </w:rPr>
        <w:t>f</w:t>
      </w:r>
      <w:r w:rsidRPr="008057FF">
        <w:rPr>
          <w:rStyle w:val="reference-text"/>
          <w:rFonts w:ascii="Palatino Linotype" w:hAnsi="Palatino Linotype"/>
          <w:i/>
          <w:sz w:val="22"/>
          <w:szCs w:val="22"/>
          <w:vertAlign w:val="subscript"/>
        </w:rPr>
        <w:t>g</w:t>
      </w:r>
      <w:r w:rsidRPr="008057FF">
        <w:rPr>
          <w:rStyle w:val="reference-text"/>
          <w:rFonts w:ascii="Palatino Linotype" w:hAnsi="Palatino Linotype"/>
          <w:sz w:val="22"/>
          <w:szCs w:val="22"/>
          <w:vertAlign w:val="subscript"/>
        </w:rPr>
        <w:t xml:space="preserve">  </w:t>
      </w:r>
      <w:r w:rsidRPr="008057FF">
        <w:rPr>
          <w:rStyle w:val="reference-text"/>
          <w:rFonts w:ascii="Palatino Linotype" w:hAnsi="Palatino Linotype"/>
          <w:sz w:val="22"/>
          <w:szCs w:val="22"/>
        </w:rPr>
        <w:t xml:space="preserve">= </w:t>
      </w:r>
      <w:r>
        <w:rPr>
          <w:rStyle w:val="reference-text"/>
          <w:rFonts w:ascii="Palatino Linotype" w:hAnsi="Palatino Linotype"/>
          <w:sz w:val="22"/>
          <w:szCs w:val="22"/>
        </w:rPr>
        <w:t xml:space="preserve">frekuensi dominan dan </w:t>
      </w:r>
      <w:r>
        <w:rPr>
          <w:rStyle w:val="reference-text"/>
          <w:rFonts w:ascii="Palatino Linotype" w:hAnsi="Palatino Linotype"/>
          <w:sz w:val="22"/>
          <w:szCs w:val="22"/>
          <w:lang w:val="en-US"/>
        </w:rPr>
        <w:t xml:space="preserve">nilai </w:t>
      </w:r>
      <w:r w:rsidRPr="008057FF">
        <w:rPr>
          <w:rStyle w:val="reference-text"/>
          <w:rFonts w:ascii="Palatino Linotype" w:hAnsi="Palatino Linotype"/>
          <w:i/>
          <w:sz w:val="22"/>
          <w:szCs w:val="22"/>
          <w:lang w:val="en-US"/>
        </w:rPr>
        <w:t>V</w:t>
      </w:r>
      <w:r w:rsidRPr="008057FF">
        <w:rPr>
          <w:rStyle w:val="reference-text"/>
          <w:rFonts w:ascii="Palatino Linotype" w:hAnsi="Palatino Linotype"/>
          <w:i/>
          <w:sz w:val="22"/>
          <w:szCs w:val="22"/>
          <w:vertAlign w:val="subscript"/>
          <w:lang w:val="en-US"/>
        </w:rPr>
        <w:t>s</w:t>
      </w:r>
      <w:r>
        <w:rPr>
          <w:rStyle w:val="reference-text"/>
          <w:rFonts w:ascii="Palatino Linotype" w:hAnsi="Palatino Linotype"/>
          <w:sz w:val="22"/>
          <w:szCs w:val="22"/>
          <w:vertAlign w:val="subscript"/>
          <w:lang w:val="en-US"/>
        </w:rPr>
        <w:t xml:space="preserve"> </w:t>
      </w:r>
      <w:r w:rsidRPr="008057FF">
        <w:rPr>
          <w:rStyle w:val="reference-text"/>
          <w:rFonts w:ascii="Palatino Linotype" w:hAnsi="Palatino Linotype"/>
          <w:sz w:val="22"/>
          <w:szCs w:val="22"/>
          <w:lang w:val="en-US"/>
        </w:rPr>
        <w:t>diper</w:t>
      </w:r>
      <w:r>
        <w:rPr>
          <w:rStyle w:val="reference-text"/>
          <w:rFonts w:ascii="Palatino Linotype" w:hAnsi="Palatino Linotype"/>
          <w:sz w:val="22"/>
          <w:szCs w:val="22"/>
          <w:lang w:val="en-US"/>
        </w:rPr>
        <w:t>oleh dari hubungan:</w:t>
      </w:r>
    </w:p>
    <w:tbl>
      <w:tblPr>
        <w:tblStyle w:val="TableGrid"/>
        <w:tblW w:w="4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2"/>
        <w:gridCol w:w="473"/>
      </w:tblGrid>
      <w:tr w:rsidR="008057FF" w:rsidTr="00C0142B">
        <w:tc>
          <w:tcPr>
            <w:tcW w:w="4202" w:type="dxa"/>
          </w:tcPr>
          <w:p w:rsidR="008057FF" w:rsidRPr="00FD1C96" w:rsidRDefault="008057FF" w:rsidP="00C0142B">
            <w:pPr>
              <w:pStyle w:val="Fluxisi"/>
              <w:ind w:firstLine="432"/>
              <w:rPr>
                <w:rFonts w:ascii="Cambria Math" w:hAnsi="Cambria Math"/>
                <w:szCs w:val="22"/>
                <w:lang w:val="en-US"/>
              </w:rPr>
            </w:pPr>
            <w:r w:rsidRPr="008057FF">
              <w:rPr>
                <w:rStyle w:val="reference-text"/>
                <w:rFonts w:ascii="Times New Roman" w:hAnsi="Times New Roman"/>
                <w:sz w:val="24"/>
                <w:szCs w:val="24"/>
              </w:rPr>
              <w:object w:dxaOrig="1040" w:dyaOrig="780">
                <v:shape id="_x0000_i1028" type="#_x0000_t75" style="width:52.3pt;height:39.4pt" o:ole="">
                  <v:imagedata r:id="rId17" o:title=""/>
                </v:shape>
                <o:OLEObject Type="Embed" ProgID="Equation.DSMT4" ShapeID="_x0000_i1028" DrawAspect="Content" ObjectID="_1666683505" r:id="rId18"/>
              </w:object>
            </w:r>
          </w:p>
        </w:tc>
        <w:tc>
          <w:tcPr>
            <w:tcW w:w="473" w:type="dxa"/>
            <w:vAlign w:val="center"/>
          </w:tcPr>
          <w:p w:rsidR="008057FF" w:rsidRDefault="008057FF" w:rsidP="00C0142B">
            <w:pPr>
              <w:pStyle w:val="Fluxisi"/>
              <w:ind w:firstLine="0"/>
              <w:jc w:val="right"/>
              <w:rPr>
                <w:szCs w:val="22"/>
                <w:lang w:val="en-US"/>
              </w:rPr>
            </w:pPr>
            <w:r>
              <w:rPr>
                <w:szCs w:val="22"/>
                <w:lang w:val="en-US"/>
              </w:rPr>
              <w:t>(4)</w:t>
            </w:r>
          </w:p>
        </w:tc>
      </w:tr>
    </w:tbl>
    <w:p w:rsidR="008057FF" w:rsidRDefault="008057FF" w:rsidP="00FD1C96">
      <w:pPr>
        <w:jc w:val="both"/>
        <w:rPr>
          <w:rStyle w:val="reference-text"/>
          <w:rFonts w:ascii="Palatino Linotype" w:hAnsi="Palatino Linotype"/>
          <w:sz w:val="22"/>
          <w:szCs w:val="22"/>
        </w:rPr>
      </w:pPr>
      <w:r w:rsidRPr="008057FF">
        <w:rPr>
          <w:rStyle w:val="reference-text"/>
          <w:rFonts w:ascii="Palatino Linotype" w:hAnsi="Palatino Linotype"/>
          <w:sz w:val="22"/>
          <w:szCs w:val="22"/>
        </w:rPr>
        <w:t xml:space="preserve">dengan </w:t>
      </w:r>
      <w:r w:rsidRPr="008057FF">
        <w:rPr>
          <w:rStyle w:val="reference-text"/>
          <w:rFonts w:ascii="Palatino Linotype" w:hAnsi="Palatino Linotype"/>
          <w:i/>
          <w:sz w:val="22"/>
          <w:szCs w:val="22"/>
        </w:rPr>
        <w:t>A</w:t>
      </w:r>
      <w:r w:rsidRPr="008057FF">
        <w:rPr>
          <w:rStyle w:val="reference-text"/>
          <w:rFonts w:ascii="Palatino Linotype" w:hAnsi="Palatino Linotype"/>
          <w:i/>
          <w:sz w:val="22"/>
          <w:szCs w:val="22"/>
          <w:vertAlign w:val="subscript"/>
        </w:rPr>
        <w:t>g</w:t>
      </w:r>
      <w:r w:rsidRPr="008057FF">
        <w:rPr>
          <w:rStyle w:val="reference-text"/>
          <w:rFonts w:ascii="Palatino Linotype" w:hAnsi="Palatino Linotype"/>
          <w:sz w:val="22"/>
          <w:szCs w:val="22"/>
        </w:rPr>
        <w:t xml:space="preserve"> merupakan faktor amplifikasi yang diperoleh dari data mikrotremor di lapangan dan </w:t>
      </w:r>
      <w:r w:rsidRPr="008057FF">
        <w:rPr>
          <w:rStyle w:val="reference-text"/>
          <w:rFonts w:ascii="Palatino Linotype" w:hAnsi="Palatino Linotype"/>
          <w:i/>
          <w:sz w:val="22"/>
          <w:szCs w:val="22"/>
        </w:rPr>
        <w:t>V</w:t>
      </w:r>
      <w:r w:rsidRPr="008057FF">
        <w:rPr>
          <w:rStyle w:val="reference-text"/>
          <w:rFonts w:ascii="Palatino Linotype" w:hAnsi="Palatino Linotype"/>
          <w:i/>
          <w:sz w:val="22"/>
          <w:szCs w:val="22"/>
          <w:vertAlign w:val="subscript"/>
        </w:rPr>
        <w:t>b</w:t>
      </w:r>
      <w:r w:rsidRPr="008057FF">
        <w:rPr>
          <w:rStyle w:val="reference-text"/>
          <w:rFonts w:ascii="Palatino Linotype" w:hAnsi="Palatino Linotype"/>
          <w:sz w:val="22"/>
          <w:szCs w:val="22"/>
        </w:rPr>
        <w:t xml:space="preserve"> adalah kecepatan </w:t>
      </w:r>
      <w:r w:rsidRPr="008057FF">
        <w:rPr>
          <w:rFonts w:ascii="Palatino Linotype" w:hAnsi="Palatino Linotype"/>
          <w:sz w:val="22"/>
          <w:szCs w:val="22"/>
        </w:rPr>
        <w:t xml:space="preserve">gelombang geser di batuan dasar ≈ </w:t>
      </w:r>
      <w:r w:rsidRPr="008057FF">
        <w:rPr>
          <w:rStyle w:val="reference-text"/>
          <w:rFonts w:ascii="Palatino Linotype" w:hAnsi="Palatino Linotype"/>
          <w:sz w:val="22"/>
          <w:szCs w:val="22"/>
        </w:rPr>
        <w:t>600 m/s.</w:t>
      </w:r>
    </w:p>
    <w:p w:rsidR="00AB4442" w:rsidRDefault="00AB4442" w:rsidP="00AB4442">
      <w:pPr>
        <w:ind w:firstLine="450"/>
        <w:jc w:val="both"/>
        <w:rPr>
          <w:rFonts w:ascii="Palatino Linotype" w:hAnsi="Palatino Linotype"/>
          <w:bCs/>
          <w:sz w:val="22"/>
          <w:szCs w:val="22"/>
          <w:lang w:val="en-US"/>
        </w:rPr>
      </w:pPr>
      <w:r w:rsidRPr="00AB4442">
        <w:rPr>
          <w:rFonts w:ascii="Palatino Linotype" w:hAnsi="Palatino Linotype"/>
          <w:sz w:val="22"/>
          <w:szCs w:val="22"/>
        </w:rPr>
        <w:t xml:space="preserve">Parameter-parameter fisis batuan di atas yang diperoleh dari data sekunder maupun data survai lapangan </w:t>
      </w:r>
      <w:r w:rsidRPr="00AB4442">
        <w:rPr>
          <w:rFonts w:ascii="Palatino Linotype" w:hAnsi="Palatino Linotype"/>
          <w:bCs/>
          <w:sz w:val="22"/>
          <w:szCs w:val="22"/>
        </w:rPr>
        <w:t>kemudian di-</w:t>
      </w:r>
      <w:r w:rsidRPr="00AB4442">
        <w:rPr>
          <w:rFonts w:ascii="Palatino Linotype" w:hAnsi="Palatino Linotype"/>
          <w:bCs/>
          <w:i/>
          <w:sz w:val="22"/>
          <w:szCs w:val="22"/>
        </w:rPr>
        <w:t>overlay</w:t>
      </w:r>
      <w:r w:rsidRPr="00AB4442">
        <w:rPr>
          <w:rFonts w:ascii="Palatino Linotype" w:hAnsi="Palatino Linotype"/>
          <w:bCs/>
          <w:sz w:val="22"/>
          <w:szCs w:val="22"/>
        </w:rPr>
        <w:t>-kan secara menyeluruh dengan mengggunakan me</w:t>
      </w:r>
      <w:r>
        <w:rPr>
          <w:rFonts w:ascii="Palatino Linotype" w:hAnsi="Palatino Linotype"/>
          <w:bCs/>
          <w:sz w:val="22"/>
          <w:szCs w:val="22"/>
        </w:rPr>
        <w:t>tode pembobotan statistik (AHP), sehingga potensi a</w:t>
      </w:r>
      <w:r>
        <w:rPr>
          <w:rFonts w:ascii="Palatino Linotype" w:hAnsi="Palatino Linotype"/>
          <w:bCs/>
          <w:sz w:val="22"/>
          <w:szCs w:val="22"/>
          <w:lang w:val="en-US"/>
        </w:rPr>
        <w:t xml:space="preserve">ncaman bahaya gempabumi dapat dipetakan di wilayah studi. </w:t>
      </w:r>
    </w:p>
    <w:p w:rsidR="00AB4442" w:rsidRPr="00AB4442" w:rsidRDefault="00AB4442" w:rsidP="00AB4442">
      <w:pPr>
        <w:ind w:firstLine="450"/>
        <w:jc w:val="both"/>
        <w:rPr>
          <w:rFonts w:ascii="Palatino Linotype" w:hAnsi="Palatino Linotype"/>
          <w:sz w:val="22"/>
          <w:szCs w:val="22"/>
          <w:lang w:val="en-US"/>
        </w:rPr>
      </w:pPr>
      <w:r w:rsidRPr="00AB4442">
        <w:rPr>
          <w:rFonts w:ascii="Palatino Linotype" w:hAnsi="Palatino Linotype"/>
          <w:sz w:val="22"/>
          <w:szCs w:val="22"/>
        </w:rPr>
        <w:t xml:space="preserve">Interpetasi dan analisis peta potensi ancaman bahaya gempabumi </w:t>
      </w:r>
      <w:r w:rsidRPr="00AB4442">
        <w:rPr>
          <w:rFonts w:ascii="Palatino Linotype" w:hAnsi="Palatino Linotype"/>
          <w:bCs/>
          <w:sz w:val="22"/>
          <w:szCs w:val="22"/>
        </w:rPr>
        <w:t>berdasarkan parameter fisis batuan di Kota Bengkulu yang sudah dikorelasikan secara menyeluruh menggunakan metode statistik AHP. Peta ancaman bahaya gempabumi diklasifikasikan menjadi tiga kategori yaitu tinggi (skor terbesar), sedang (skor pertengahan), dan rendah (skor paling kecil). Berdasarkan peta ancaman bahaya gempabumi ini maka dapat dibuat identifikasi dan pemetaan daerah-daerah yang berpotensi mengalami ancaman bahaya gempabumi berdasarkan parameter fisis batuan baik yang dikategorikan tinggi, sedang maupun rendah dengan berbagai analisisnya</w:t>
      </w:r>
      <w:r>
        <w:rPr>
          <w:rFonts w:ascii="Palatino Linotype" w:hAnsi="Palatino Linotype"/>
          <w:bCs/>
          <w:sz w:val="22"/>
          <w:szCs w:val="22"/>
          <w:lang w:val="en-US"/>
        </w:rPr>
        <w:t xml:space="preserve">. </w:t>
      </w:r>
    </w:p>
    <w:p w:rsidR="00AB4442" w:rsidRPr="00AB4442" w:rsidRDefault="00AB4442" w:rsidP="00FD1C96">
      <w:pPr>
        <w:jc w:val="both"/>
        <w:rPr>
          <w:rStyle w:val="reference-text"/>
          <w:rFonts w:ascii="Palatino Linotype" w:hAnsi="Palatino Linotype"/>
          <w:sz w:val="22"/>
          <w:szCs w:val="22"/>
          <w:lang w:val="en-US"/>
        </w:rPr>
      </w:pPr>
    </w:p>
    <w:p w:rsidR="00A63860" w:rsidRPr="006E1819" w:rsidRDefault="00A63860" w:rsidP="00A63860">
      <w:pPr>
        <w:pStyle w:val="Heading1"/>
      </w:pPr>
      <w:r w:rsidRPr="006E1819">
        <w:t>HASIL DAN PEMBAHASAN</w:t>
      </w:r>
    </w:p>
    <w:p w:rsidR="000E6D39" w:rsidRPr="000E6D39" w:rsidRDefault="004B3FB4" w:rsidP="000E6D39">
      <w:pPr>
        <w:pStyle w:val="Default"/>
        <w:ind w:firstLine="446"/>
        <w:jc w:val="both"/>
        <w:rPr>
          <w:rFonts w:ascii="Palatino Linotype" w:hAnsi="Palatino Linotype"/>
          <w:sz w:val="22"/>
          <w:szCs w:val="22"/>
        </w:rPr>
      </w:pPr>
      <w:r>
        <w:rPr>
          <w:rFonts w:ascii="Palatino Linotype" w:hAnsi="Palatino Linotype"/>
          <w:sz w:val="22"/>
          <w:szCs w:val="22"/>
        </w:rPr>
        <w:t>Pelaksanaan p</w:t>
      </w:r>
      <w:r w:rsidR="000E6D39" w:rsidRPr="000E6D39">
        <w:rPr>
          <w:rFonts w:ascii="Palatino Linotype" w:hAnsi="Palatino Linotype"/>
          <w:sz w:val="22"/>
          <w:szCs w:val="22"/>
        </w:rPr>
        <w:t xml:space="preserve">enelitian ini </w:t>
      </w:r>
      <w:r>
        <w:rPr>
          <w:rFonts w:ascii="Palatino Linotype" w:hAnsi="Palatino Linotype"/>
          <w:sz w:val="22"/>
          <w:szCs w:val="22"/>
        </w:rPr>
        <w:t>memanfaatkan</w:t>
      </w:r>
      <w:r w:rsidR="000E6D39" w:rsidRPr="000E6D39">
        <w:rPr>
          <w:rFonts w:ascii="Palatino Linotype" w:hAnsi="Palatino Linotype"/>
          <w:sz w:val="22"/>
          <w:szCs w:val="22"/>
        </w:rPr>
        <w:t xml:space="preserve"> data sekunder dan data primer. Data sekunder terdiri dari peta geologi regional Kota Bengkulu, peta </w:t>
      </w:r>
      <w:r w:rsidR="000E6D39" w:rsidRPr="000E6D39">
        <w:rPr>
          <w:rFonts w:ascii="Palatino Linotype" w:hAnsi="Palatino Linotype"/>
          <w:i/>
          <w:sz w:val="22"/>
          <w:szCs w:val="22"/>
        </w:rPr>
        <w:t>Vs</w:t>
      </w:r>
      <w:r w:rsidR="000E6D39" w:rsidRPr="000E6D39">
        <w:rPr>
          <w:rFonts w:ascii="Palatino Linotype" w:hAnsi="Palatino Linotype"/>
          <w:sz w:val="22"/>
          <w:szCs w:val="22"/>
          <w:vertAlign w:val="subscript"/>
        </w:rPr>
        <w:t>30</w:t>
      </w:r>
      <w:r w:rsidR="000E6D39" w:rsidRPr="000E6D39">
        <w:rPr>
          <w:rFonts w:ascii="Palatino Linotype" w:hAnsi="Palatino Linotype"/>
          <w:sz w:val="22"/>
          <w:szCs w:val="22"/>
        </w:rPr>
        <w:t xml:space="preserve">, dan peta PGA. Peta geologi regional diperoleh dari peta Lembar Bengkulu dengan skala 1:250.000 </w:t>
      </w:r>
      <w:r w:rsidR="001705AD">
        <w:rPr>
          <w:rFonts w:ascii="Palatino Linotype" w:hAnsi="Palatino Linotype"/>
          <w:sz w:val="22"/>
          <w:szCs w:val="22"/>
        </w:rPr>
        <w:t>terbitan Pusat Surve</w:t>
      </w:r>
      <w:r w:rsidR="000E6D39" w:rsidRPr="000E6D39">
        <w:rPr>
          <w:rFonts w:ascii="Palatino Linotype" w:hAnsi="Palatino Linotype"/>
          <w:sz w:val="22"/>
          <w:szCs w:val="22"/>
        </w:rPr>
        <w:t>i Geologi (PSG) Bandung. Peta tersebut kemudian disederhanakan hanya untuk peta geologi regional Kota Bengkulu seperti tam</w:t>
      </w:r>
      <w:r w:rsidR="000E6D39">
        <w:rPr>
          <w:rFonts w:ascii="Palatino Linotype" w:hAnsi="Palatino Linotype"/>
          <w:sz w:val="22"/>
          <w:szCs w:val="22"/>
        </w:rPr>
        <w:t xml:space="preserve">pak pada Gambar </w:t>
      </w:r>
      <w:r w:rsidR="000E6D39" w:rsidRPr="000E6D39">
        <w:rPr>
          <w:rFonts w:ascii="Palatino Linotype" w:hAnsi="Palatino Linotype"/>
          <w:sz w:val="22"/>
          <w:szCs w:val="22"/>
        </w:rPr>
        <w:t xml:space="preserve">1. Berdasarkan peta geologi tersebut, Kota Bengkulu terdapat empat lajur sesar yang diperkirakan dengan arah orientasi tenggara – baratlaut. Sesar-sesar tersebut terdapat di Kecamatan Kampung </w:t>
      </w:r>
      <w:r w:rsidR="000E6D39" w:rsidRPr="000E6D39">
        <w:rPr>
          <w:rFonts w:ascii="Palatino Linotype" w:hAnsi="Palatino Linotype"/>
          <w:sz w:val="22"/>
          <w:szCs w:val="22"/>
        </w:rPr>
        <w:t>Melayu, Kecamatan Gading Cempaka, dan Kecamatan Singaranpati.</w:t>
      </w:r>
    </w:p>
    <w:p w:rsidR="000E6D39" w:rsidRDefault="000E6D39" w:rsidP="00EF0D39">
      <w:pPr>
        <w:tabs>
          <w:tab w:val="left" w:pos="567"/>
        </w:tabs>
        <w:spacing w:before="120"/>
        <w:jc w:val="both"/>
        <w:rPr>
          <w:rFonts w:ascii="Palatino Linotype" w:hAnsi="Palatino Linotype"/>
          <w:b/>
          <w:sz w:val="22"/>
          <w:szCs w:val="22"/>
        </w:rPr>
      </w:pPr>
      <w:r>
        <w:rPr>
          <w:noProof/>
          <w:lang w:val="en-US"/>
        </w:rPr>
        <w:drawing>
          <wp:inline distT="0" distB="0" distL="0" distR="0" wp14:anchorId="0604423B" wp14:editId="6C6D9730">
            <wp:extent cx="2877820" cy="2026683"/>
            <wp:effectExtent l="19050" t="19050" r="17780"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 GEOLOGI_STASIUN.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77820" cy="2026683"/>
                    </a:xfrm>
                    <a:prstGeom prst="rect">
                      <a:avLst/>
                    </a:prstGeom>
                    <a:ln>
                      <a:solidFill>
                        <a:schemeClr val="tx1"/>
                      </a:solidFill>
                    </a:ln>
                  </pic:spPr>
                </pic:pic>
              </a:graphicData>
            </a:graphic>
          </wp:inline>
        </w:drawing>
      </w:r>
    </w:p>
    <w:p w:rsidR="000E6D39" w:rsidRPr="006C1E5E" w:rsidRDefault="003516EA" w:rsidP="000E6D39">
      <w:pPr>
        <w:pStyle w:val="Default"/>
        <w:jc w:val="both"/>
        <w:rPr>
          <w:rFonts w:ascii="Palatino Linotype" w:hAnsi="Palatino Linotype"/>
          <w:b/>
          <w:sz w:val="20"/>
          <w:szCs w:val="20"/>
        </w:rPr>
      </w:pPr>
      <w:r>
        <w:rPr>
          <w:rFonts w:ascii="Palatino Linotype" w:hAnsi="Palatino Linotype"/>
          <w:b/>
          <w:sz w:val="20"/>
          <w:szCs w:val="20"/>
        </w:rPr>
        <w:t xml:space="preserve">Gambar </w:t>
      </w:r>
      <w:r w:rsidR="000E6D39" w:rsidRPr="000E6D39">
        <w:rPr>
          <w:rFonts w:ascii="Palatino Linotype" w:hAnsi="Palatino Linotype"/>
          <w:b/>
          <w:sz w:val="20"/>
          <w:szCs w:val="20"/>
        </w:rPr>
        <w:t xml:space="preserve">1. Peta </w:t>
      </w:r>
      <w:r w:rsidR="000E6D39" w:rsidRPr="006C1E5E">
        <w:rPr>
          <w:rFonts w:ascii="Palatino Linotype" w:hAnsi="Palatino Linotype"/>
          <w:b/>
          <w:sz w:val="20"/>
          <w:szCs w:val="20"/>
        </w:rPr>
        <w:t>geologi regional Kota Bengkulu, Provinsi Bengkulu dan sebaran data pengukuran (penyederhanaan dari peta geologi Lembar Bengkulu, Sumatra oleh Gafoer</w:t>
      </w:r>
      <w:r w:rsidR="00C80E7E" w:rsidRPr="006C1E5E">
        <w:rPr>
          <w:rFonts w:ascii="Palatino Linotype" w:hAnsi="Palatino Linotype"/>
          <w:b/>
          <w:sz w:val="20"/>
          <w:szCs w:val="20"/>
        </w:rPr>
        <w:t>, Amin, &amp; Pardede,</w:t>
      </w:r>
      <w:r w:rsidR="000E6D39" w:rsidRPr="006C1E5E">
        <w:rPr>
          <w:rFonts w:ascii="Palatino Linotype" w:hAnsi="Palatino Linotype"/>
          <w:b/>
          <w:sz w:val="20"/>
          <w:szCs w:val="20"/>
        </w:rPr>
        <w:t xml:space="preserve"> 2007). </w:t>
      </w:r>
    </w:p>
    <w:p w:rsidR="003516EA" w:rsidRPr="002335CB" w:rsidRDefault="003516EA" w:rsidP="001705AD">
      <w:pPr>
        <w:pStyle w:val="Default"/>
        <w:spacing w:before="120"/>
        <w:ind w:firstLine="360"/>
        <w:jc w:val="both"/>
        <w:rPr>
          <w:rFonts w:ascii="Palatino Linotype" w:hAnsi="Palatino Linotype"/>
          <w:sz w:val="22"/>
          <w:szCs w:val="22"/>
        </w:rPr>
      </w:pPr>
      <w:r w:rsidRPr="006C1E5E">
        <w:rPr>
          <w:rFonts w:ascii="Palatino Linotype" w:hAnsi="Palatino Linotype"/>
          <w:sz w:val="22"/>
          <w:szCs w:val="22"/>
        </w:rPr>
        <w:t>Formasi batuan pada</w:t>
      </w:r>
      <w:r w:rsidRPr="000E6D39">
        <w:rPr>
          <w:rFonts w:ascii="Palatino Linotype" w:hAnsi="Palatino Linotype"/>
          <w:sz w:val="22"/>
          <w:szCs w:val="22"/>
        </w:rPr>
        <w:t xml:space="preserve"> Kota Bengkulu terdiri dari Aluvium (Qa), Andesit (Tpan), Batuapung Terumbu (Ql), Endapan Rawa (Qs), Formasi Bintunan (QTb), dan Undak Aluvium (Qat). Formai Andesit (Tpan) dan Formasi Bintunan (QTb) merupakan formasi batuan urutan Tersier. Secara stratigrafi, formasi Andesit (Tpan) merupakan formasi batuan tertua di Kota Bengkulu yang berumur Miosen Akhir atau lebih muda. Formasi Andesit (Tpan) ditindih oleh Formasi Bintunan (QTb) yang lebih muda yaitu berumur Pliosen-Plistosen. Formasi Andesit (Tpan) terletak di sebelah tenggara dari pusat Kota Bengkulu, sedangkan formasi Bintunan (QTb) terletak di sebelah timurlaut dari pusat Kota Bengkulu. Formasi Aluvium (Qa), , Batuapung Terumbu (Ql), Endapan Rawa (Qs), dan Undak Aluvium (Qat) termasuk dalam urutan Sedimen Kuarter di Koa Bengkulu. Secara stratigrafi urutan Sedimen Kuarter ini berumur Holosen. Formasi Undak Aluvium (Qat) lebih mendominasi di daerah studi, sedangkan formasi Batugamping Terumbu (Ql) hanya terdapat di sebelah selatan Muara Cemara Pantai Panjang, Teluk </w:t>
      </w:r>
      <w:r w:rsidRPr="002335CB">
        <w:rPr>
          <w:rFonts w:ascii="Palatino Linotype" w:hAnsi="Palatino Linotype"/>
          <w:sz w:val="22"/>
          <w:szCs w:val="22"/>
        </w:rPr>
        <w:t>Segara (Gafoer, Amin, &amp; Pardede, 2012).</w:t>
      </w:r>
    </w:p>
    <w:p w:rsidR="001705AD" w:rsidRPr="002335CB" w:rsidRDefault="001705AD" w:rsidP="006E0569">
      <w:pPr>
        <w:pStyle w:val="Default"/>
        <w:ind w:firstLine="360"/>
        <w:jc w:val="both"/>
        <w:rPr>
          <w:rFonts w:ascii="Palatino Linotype" w:hAnsi="Palatino Linotype"/>
          <w:sz w:val="22"/>
          <w:szCs w:val="22"/>
        </w:rPr>
      </w:pPr>
      <w:r w:rsidRPr="002335CB">
        <w:rPr>
          <w:rFonts w:ascii="Palatino Linotype" w:hAnsi="Palatino Linotype"/>
          <w:sz w:val="22"/>
          <w:szCs w:val="22"/>
        </w:rPr>
        <w:t>Peta geologi regional ini berguna</w:t>
      </w:r>
      <w:r w:rsidRPr="001705AD">
        <w:rPr>
          <w:rFonts w:ascii="Palatino Linotype" w:hAnsi="Palatino Linotype"/>
          <w:sz w:val="22"/>
          <w:szCs w:val="22"/>
        </w:rPr>
        <w:t xml:space="preserve"> untuk penentuan parameter kondisi tanah dan identifikasi jarak sesar ke titik-titik </w:t>
      </w:r>
      <w:r w:rsidRPr="001705AD">
        <w:rPr>
          <w:rFonts w:ascii="Palatino Linotype" w:hAnsi="Palatino Linotype"/>
          <w:sz w:val="22"/>
          <w:szCs w:val="22"/>
        </w:rPr>
        <w:lastRenderedPageBreak/>
        <w:t xml:space="preserve">pengukuran dalam pembobotan statistik AHP. </w:t>
      </w:r>
      <w:r w:rsidRPr="002335CB">
        <w:rPr>
          <w:rFonts w:ascii="Palatino Linotype" w:hAnsi="Palatino Linotype"/>
          <w:sz w:val="22"/>
          <w:szCs w:val="22"/>
        </w:rPr>
        <w:t>Pembagian kategori kelas pembobotan untuk kondisi batuan berdasarkan tingkat kesolidan. Tingkat kesolidan batuan berkaitan dengan stratigrafinya. Batuan yang posisinya berada di bawah secara umum bersifat solid, sehingga formasi batuan yang paling solid di daerah studi adalah Formasi Andesit (Tpan) disusul oleh Formasi Bintunan (QTb). Selanjutnya Urutan Sedimen Kuarter merupakan formasi batuan yang tidak solid karena terdiri dari litologi sedimen lepas (Gafoer</w:t>
      </w:r>
      <w:r w:rsidR="00F77F85" w:rsidRPr="002335CB">
        <w:rPr>
          <w:rFonts w:ascii="Palatino Linotype" w:hAnsi="Palatino Linotype"/>
          <w:sz w:val="22"/>
          <w:szCs w:val="22"/>
        </w:rPr>
        <w:t xml:space="preserve">, Amin, &amp; Pardede, </w:t>
      </w:r>
      <w:r w:rsidRPr="002335CB">
        <w:rPr>
          <w:rFonts w:ascii="Palatino Linotype" w:hAnsi="Palatino Linotype"/>
          <w:sz w:val="22"/>
          <w:szCs w:val="22"/>
        </w:rPr>
        <w:t>2012). Hal ini juga berkaitan dengan probabilitas deformasi tanah dimana formasi batuan yang berumur tersier di daerah studi memiliki faktor amplifikasi yang cukup kecil (Sugianto</w:t>
      </w:r>
      <w:r w:rsidR="00A36D95" w:rsidRPr="002335CB">
        <w:rPr>
          <w:rFonts w:ascii="Palatino Linotype" w:hAnsi="Palatino Linotype"/>
          <w:sz w:val="22"/>
          <w:szCs w:val="22"/>
        </w:rPr>
        <w:t xml:space="preserve">, Farid, &amp; Suryanto, </w:t>
      </w:r>
      <w:r w:rsidRPr="002335CB">
        <w:rPr>
          <w:rFonts w:ascii="Palatino Linotype" w:hAnsi="Palatino Linotype"/>
          <w:sz w:val="22"/>
          <w:szCs w:val="22"/>
        </w:rPr>
        <w:t xml:space="preserve">2016). Faktor amplifikasi merupakan ukuran yang dapat memperbesar efek gempabumi. Semakin besar nilai amplifikasi maka efek gempabumi </w:t>
      </w:r>
      <w:proofErr w:type="gramStart"/>
      <w:r w:rsidRPr="002335CB">
        <w:rPr>
          <w:rFonts w:ascii="Palatino Linotype" w:hAnsi="Palatino Linotype"/>
          <w:sz w:val="22"/>
          <w:szCs w:val="22"/>
        </w:rPr>
        <w:t>akan</w:t>
      </w:r>
      <w:proofErr w:type="gramEnd"/>
      <w:r w:rsidRPr="002335CB">
        <w:rPr>
          <w:rFonts w:ascii="Palatino Linotype" w:hAnsi="Palatino Linotype"/>
          <w:sz w:val="22"/>
          <w:szCs w:val="22"/>
        </w:rPr>
        <w:t xml:space="preserve"> semakin besar dan sebaliknya. Berdasarkan identifikasi sesar-sesar yang ada di lokasi studi diketahui bahwa jarak sesar ke titik pengukuran yang paling dekat adalah 221,7 m. Semakin dekat dengan sesar maka semakin besar risiko ancaman terhadap gempa. Klasifikasi pembobotan berdasarkan hasil studi Hadi (2019). Berdasarkan studi ini, jarak sesar </w:t>
      </w:r>
      <w:r w:rsidRPr="002335CB">
        <w:rPr>
          <w:sz w:val="22"/>
          <w:szCs w:val="22"/>
        </w:rPr>
        <w:t>˂</w:t>
      </w:r>
      <w:r w:rsidRPr="002335CB">
        <w:rPr>
          <w:rFonts w:ascii="Palatino Linotype" w:hAnsi="Palatino Linotype"/>
          <w:sz w:val="22"/>
          <w:szCs w:val="22"/>
        </w:rPr>
        <w:t xml:space="preserve"> 1 km berisiko tinggi, jarak sesar  antara 1 km - 5 km berisiko sedang, dan jarak sesar ≥ 5 km berisiko rendah. </w:t>
      </w:r>
    </w:p>
    <w:p w:rsidR="00D474B8" w:rsidRPr="002335CB" w:rsidRDefault="00D474B8" w:rsidP="00D474B8">
      <w:pPr>
        <w:pStyle w:val="Default"/>
        <w:ind w:firstLine="450"/>
        <w:jc w:val="both"/>
        <w:rPr>
          <w:rFonts w:ascii="Palatino Linotype" w:hAnsi="Palatino Linotype"/>
          <w:sz w:val="22"/>
          <w:szCs w:val="22"/>
        </w:rPr>
      </w:pPr>
      <w:r w:rsidRPr="002335CB">
        <w:rPr>
          <w:rFonts w:ascii="Palatino Linotype" w:hAnsi="Palatino Linotype"/>
          <w:sz w:val="22"/>
          <w:szCs w:val="22"/>
        </w:rPr>
        <w:t xml:space="preserve">Peta sebaran </w:t>
      </w:r>
      <w:r w:rsidRPr="002335CB">
        <w:rPr>
          <w:rFonts w:ascii="Palatino Linotype" w:hAnsi="Palatino Linotype"/>
          <w:i/>
          <w:sz w:val="22"/>
          <w:szCs w:val="22"/>
        </w:rPr>
        <w:t>Vs</w:t>
      </w:r>
      <w:r w:rsidRPr="002335CB">
        <w:rPr>
          <w:rFonts w:ascii="Palatino Linotype" w:hAnsi="Palatino Linotype"/>
          <w:sz w:val="22"/>
          <w:szCs w:val="22"/>
          <w:vertAlign w:val="subscript"/>
        </w:rPr>
        <w:t>30</w:t>
      </w:r>
      <w:r w:rsidRPr="002335CB">
        <w:rPr>
          <w:rFonts w:ascii="Palatino Linotype" w:hAnsi="Palatino Linotype"/>
          <w:sz w:val="22"/>
          <w:szCs w:val="22"/>
        </w:rPr>
        <w:t xml:space="preserve"> didapat dari peta </w:t>
      </w:r>
      <w:r w:rsidRPr="002335CB">
        <w:rPr>
          <w:rFonts w:ascii="Palatino Linotype" w:hAnsi="Palatino Linotype"/>
          <w:i/>
          <w:sz w:val="22"/>
          <w:szCs w:val="22"/>
        </w:rPr>
        <w:t>Vs</w:t>
      </w:r>
      <w:r w:rsidRPr="002335CB">
        <w:rPr>
          <w:rFonts w:ascii="Palatino Linotype" w:hAnsi="Palatino Linotype"/>
          <w:sz w:val="22"/>
          <w:szCs w:val="22"/>
          <w:vertAlign w:val="subscript"/>
        </w:rPr>
        <w:t>30</w:t>
      </w:r>
      <w:r w:rsidRPr="002335CB">
        <w:rPr>
          <w:rFonts w:ascii="Palatino Linotype" w:hAnsi="Palatino Linotype"/>
          <w:sz w:val="22"/>
          <w:szCs w:val="22"/>
        </w:rPr>
        <w:t xml:space="preserve"> global USGS </w:t>
      </w:r>
      <w:r w:rsidR="00D20A70" w:rsidRPr="002335CB">
        <w:rPr>
          <w:rFonts w:ascii="Palatino Linotype" w:hAnsi="Palatino Linotype"/>
          <w:sz w:val="22"/>
          <w:szCs w:val="22"/>
        </w:rPr>
        <w:t>(Allen &amp;</w:t>
      </w:r>
      <w:r w:rsidRPr="002335CB">
        <w:rPr>
          <w:rFonts w:ascii="Palatino Linotype" w:hAnsi="Palatino Linotype"/>
          <w:sz w:val="22"/>
          <w:szCs w:val="22"/>
        </w:rPr>
        <w:t xml:space="preserve"> Wald, 2007). Peta tersebut kemudian disederhakan hanya untuk peta </w:t>
      </w:r>
      <w:r w:rsidRPr="002335CB">
        <w:rPr>
          <w:rFonts w:ascii="Palatino Linotype" w:hAnsi="Palatino Linotype"/>
          <w:i/>
          <w:sz w:val="22"/>
          <w:szCs w:val="22"/>
        </w:rPr>
        <w:t>Vs</w:t>
      </w:r>
      <w:r w:rsidRPr="002335CB">
        <w:rPr>
          <w:rFonts w:ascii="Palatino Linotype" w:hAnsi="Palatino Linotype"/>
          <w:sz w:val="22"/>
          <w:szCs w:val="22"/>
          <w:vertAlign w:val="subscript"/>
        </w:rPr>
        <w:t xml:space="preserve">30 </w:t>
      </w:r>
      <w:r w:rsidRPr="002335CB">
        <w:rPr>
          <w:rFonts w:ascii="Palatino Linotype" w:hAnsi="Palatino Linotype"/>
          <w:sz w:val="22"/>
          <w:szCs w:val="22"/>
        </w:rPr>
        <w:t>Kota Bengkulu s</w:t>
      </w:r>
      <w:r w:rsidR="00EF0D39" w:rsidRPr="002335CB">
        <w:rPr>
          <w:rFonts w:ascii="Palatino Linotype" w:hAnsi="Palatino Linotype"/>
          <w:sz w:val="22"/>
          <w:szCs w:val="22"/>
        </w:rPr>
        <w:t xml:space="preserve">eperti ditunjukkan pada Gambar </w:t>
      </w:r>
      <w:r w:rsidRPr="002335CB">
        <w:rPr>
          <w:rFonts w:ascii="Palatino Linotype" w:hAnsi="Palatino Linotype"/>
          <w:sz w:val="22"/>
          <w:szCs w:val="22"/>
        </w:rPr>
        <w:t xml:space="preserve">2. </w:t>
      </w:r>
      <w:r w:rsidRPr="002335CB">
        <w:rPr>
          <w:rFonts w:ascii="Palatino Linotype" w:hAnsi="Palatino Linotype"/>
          <w:i/>
          <w:sz w:val="22"/>
          <w:szCs w:val="22"/>
        </w:rPr>
        <w:t>Vs</w:t>
      </w:r>
      <w:r w:rsidRPr="002335CB">
        <w:rPr>
          <w:rFonts w:ascii="Palatino Linotype" w:hAnsi="Palatino Linotype"/>
          <w:sz w:val="22"/>
          <w:szCs w:val="22"/>
          <w:vertAlign w:val="subscript"/>
        </w:rPr>
        <w:t>30</w:t>
      </w:r>
      <w:r w:rsidRPr="002335CB">
        <w:rPr>
          <w:rFonts w:ascii="Palatino Linotype" w:hAnsi="Palatino Linotype"/>
          <w:sz w:val="22"/>
          <w:szCs w:val="22"/>
        </w:rPr>
        <w:t xml:space="preserve"> dapat digunakan sebagai parameter fisis untuk analisis gelombang seismik. </w:t>
      </w:r>
      <w:r w:rsidRPr="002335CB">
        <w:rPr>
          <w:rFonts w:ascii="Palatino Linotype" w:hAnsi="Palatino Linotype"/>
          <w:i/>
          <w:sz w:val="22"/>
          <w:szCs w:val="22"/>
        </w:rPr>
        <w:t>Vs</w:t>
      </w:r>
      <w:r w:rsidRPr="002335CB">
        <w:rPr>
          <w:rFonts w:ascii="Palatino Linotype" w:hAnsi="Palatino Linotype"/>
          <w:sz w:val="22"/>
          <w:szCs w:val="22"/>
          <w:vertAlign w:val="subscript"/>
        </w:rPr>
        <w:t>30</w:t>
      </w:r>
      <w:r w:rsidRPr="002335CB">
        <w:rPr>
          <w:rFonts w:ascii="Palatino Linotype" w:hAnsi="Palatino Linotype"/>
          <w:sz w:val="22"/>
          <w:szCs w:val="22"/>
        </w:rPr>
        <w:t xml:space="preserve"> merupakan kecepatan gelombang geser rata-rata sampai pada kedalaman 30 m (UBC, 1997). </w:t>
      </w:r>
    </w:p>
    <w:p w:rsidR="003F217B" w:rsidRPr="00D474B8" w:rsidRDefault="003F217B" w:rsidP="003F217B">
      <w:pPr>
        <w:pStyle w:val="Default"/>
        <w:ind w:firstLine="446"/>
        <w:jc w:val="both"/>
        <w:rPr>
          <w:rFonts w:ascii="Palatino Linotype" w:hAnsi="Palatino Linotype"/>
          <w:sz w:val="22"/>
          <w:szCs w:val="22"/>
        </w:rPr>
      </w:pPr>
      <w:r w:rsidRPr="002335CB">
        <w:rPr>
          <w:rFonts w:ascii="Palatino Linotype" w:hAnsi="Palatino Linotype"/>
          <w:sz w:val="22"/>
          <w:szCs w:val="22"/>
        </w:rPr>
        <w:t xml:space="preserve">Penggunaan parameter </w:t>
      </w:r>
      <w:r w:rsidRPr="002335CB">
        <w:rPr>
          <w:rFonts w:ascii="Palatino Linotype" w:hAnsi="Palatino Linotype"/>
          <w:i/>
          <w:sz w:val="22"/>
          <w:szCs w:val="22"/>
        </w:rPr>
        <w:t>Vs</w:t>
      </w:r>
      <w:r w:rsidRPr="002335CB">
        <w:rPr>
          <w:rFonts w:ascii="Palatino Linotype" w:hAnsi="Palatino Linotype"/>
          <w:sz w:val="22"/>
          <w:szCs w:val="22"/>
          <w:vertAlign w:val="subscript"/>
        </w:rPr>
        <w:t>30</w:t>
      </w:r>
      <w:r w:rsidRPr="002335CB">
        <w:rPr>
          <w:rFonts w:ascii="Palatino Linotype" w:hAnsi="Palatino Linotype"/>
          <w:sz w:val="22"/>
          <w:szCs w:val="22"/>
        </w:rPr>
        <w:t xml:space="preserve"> didasarkan kepada dampak pengaruh gempa. Pembesaran gelombang gempa hanya ditentukan oleh lapisan-lapisan batuan sampai pada kedalaman 30 m (</w:t>
      </w:r>
      <w:r w:rsidRPr="002335CB">
        <w:rPr>
          <w:rFonts w:ascii="Palatino Linotype" w:hAnsi="Palatino Linotype"/>
          <w:color w:val="000000" w:themeColor="text1"/>
          <w:sz w:val="22"/>
          <w:szCs w:val="22"/>
        </w:rPr>
        <w:t xml:space="preserve">Wangsadinata, 2006). </w:t>
      </w:r>
      <w:r w:rsidRPr="00D474B8">
        <w:rPr>
          <w:rFonts w:ascii="Palatino Linotype" w:hAnsi="Palatino Linotype"/>
          <w:sz w:val="22"/>
          <w:szCs w:val="22"/>
        </w:rPr>
        <w:t xml:space="preserve">Pada batuan yang keras, gelombang seismik mempunyai kecepatan yang lebih besar daripada di batuan lunak. </w:t>
      </w:r>
    </w:p>
    <w:p w:rsidR="000E6D39" w:rsidRDefault="00EF0D39" w:rsidP="0045583E">
      <w:pPr>
        <w:tabs>
          <w:tab w:val="left" w:pos="567"/>
        </w:tabs>
        <w:spacing w:before="120"/>
        <w:jc w:val="both"/>
        <w:rPr>
          <w:rFonts w:ascii="Palatino Linotype" w:hAnsi="Palatino Linotype"/>
          <w:b/>
          <w:sz w:val="22"/>
          <w:szCs w:val="22"/>
        </w:rPr>
      </w:pPr>
      <w:r>
        <w:rPr>
          <w:i/>
          <w:noProof/>
          <w:lang w:val="en-US"/>
        </w:rPr>
        <w:drawing>
          <wp:inline distT="0" distB="0" distL="0" distR="0" wp14:anchorId="4EB349C5" wp14:editId="4F21EC0C">
            <wp:extent cx="2877820" cy="2026683"/>
            <wp:effectExtent l="19050" t="19050" r="17780" b="1206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6. PETA Vs30 (Tanpa Data Pengukuran).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77820" cy="2026683"/>
                    </a:xfrm>
                    <a:prstGeom prst="rect">
                      <a:avLst/>
                    </a:prstGeom>
                    <a:ln>
                      <a:solidFill>
                        <a:schemeClr val="tx1"/>
                      </a:solidFill>
                    </a:ln>
                  </pic:spPr>
                </pic:pic>
              </a:graphicData>
            </a:graphic>
          </wp:inline>
        </w:drawing>
      </w:r>
    </w:p>
    <w:p w:rsidR="00EF0D39" w:rsidRPr="002335CB" w:rsidRDefault="00EF0D39" w:rsidP="00EF0D39">
      <w:pPr>
        <w:pStyle w:val="Default"/>
        <w:jc w:val="both"/>
        <w:rPr>
          <w:rFonts w:ascii="Palatino Linotype" w:hAnsi="Palatino Linotype"/>
          <w:b/>
          <w:sz w:val="20"/>
          <w:szCs w:val="20"/>
        </w:rPr>
      </w:pPr>
      <w:r>
        <w:rPr>
          <w:rFonts w:ascii="Palatino Linotype" w:hAnsi="Palatino Linotype"/>
          <w:b/>
          <w:sz w:val="20"/>
          <w:szCs w:val="20"/>
        </w:rPr>
        <w:t xml:space="preserve">Gambar </w:t>
      </w:r>
      <w:r w:rsidRPr="00EF0D39">
        <w:rPr>
          <w:rFonts w:ascii="Palatino Linotype" w:hAnsi="Palatino Linotype"/>
          <w:b/>
          <w:sz w:val="20"/>
          <w:szCs w:val="20"/>
        </w:rPr>
        <w:t xml:space="preserve">2. Peta sebaran </w:t>
      </w:r>
      <w:r w:rsidRPr="00EF0D39">
        <w:rPr>
          <w:rFonts w:ascii="Palatino Linotype" w:hAnsi="Palatino Linotype"/>
          <w:b/>
          <w:i/>
          <w:sz w:val="20"/>
          <w:szCs w:val="20"/>
        </w:rPr>
        <w:t>Vs</w:t>
      </w:r>
      <w:r w:rsidRPr="00EF0D39">
        <w:rPr>
          <w:rFonts w:ascii="Palatino Linotype" w:hAnsi="Palatino Linotype"/>
          <w:b/>
          <w:sz w:val="20"/>
          <w:szCs w:val="20"/>
          <w:vertAlign w:val="subscript"/>
        </w:rPr>
        <w:t>30</w:t>
      </w:r>
      <w:r w:rsidRPr="00EF0D39">
        <w:rPr>
          <w:rFonts w:ascii="Palatino Linotype" w:hAnsi="Palatino Linotype"/>
          <w:b/>
          <w:sz w:val="20"/>
          <w:szCs w:val="20"/>
        </w:rPr>
        <w:t xml:space="preserve"> di Kota Bengkulu, Provinsi Bengkulu (penyederhaan dari </w:t>
      </w:r>
      <w:r w:rsidR="00D36688" w:rsidRPr="002335CB">
        <w:rPr>
          <w:rFonts w:ascii="Palatino Linotype" w:hAnsi="Palatino Linotype"/>
          <w:b/>
          <w:sz w:val="20"/>
          <w:szCs w:val="20"/>
        </w:rPr>
        <w:t>Allen &amp;</w:t>
      </w:r>
      <w:r w:rsidRPr="002335CB">
        <w:rPr>
          <w:rFonts w:ascii="Palatino Linotype" w:hAnsi="Palatino Linotype"/>
          <w:b/>
          <w:sz w:val="20"/>
          <w:szCs w:val="20"/>
        </w:rPr>
        <w:t xml:space="preserve"> Wald, 2007).</w:t>
      </w:r>
    </w:p>
    <w:p w:rsidR="00C73E21" w:rsidRPr="002335CB" w:rsidRDefault="00C73E21" w:rsidP="00327943">
      <w:pPr>
        <w:pStyle w:val="Default"/>
        <w:spacing w:before="120"/>
        <w:ind w:firstLine="446"/>
        <w:jc w:val="both"/>
        <w:rPr>
          <w:rFonts w:ascii="Palatino Linotype" w:hAnsi="Palatino Linotype"/>
          <w:sz w:val="22"/>
          <w:szCs w:val="22"/>
        </w:rPr>
      </w:pPr>
      <w:r w:rsidRPr="00C73E21">
        <w:rPr>
          <w:rFonts w:ascii="Palatino Linotype" w:hAnsi="Palatino Linotype"/>
          <w:sz w:val="22"/>
          <w:szCs w:val="22"/>
        </w:rPr>
        <w:t xml:space="preserve">Klasifikasi jenis tanah dapat ditentukan </w:t>
      </w:r>
      <w:r w:rsidRPr="002335CB">
        <w:rPr>
          <w:rFonts w:ascii="Palatino Linotype" w:hAnsi="Palatino Linotype"/>
          <w:sz w:val="22"/>
          <w:szCs w:val="22"/>
        </w:rPr>
        <w:t xml:space="preserve">berdasarkan kecepatan gelombang gesernya (SNI, 2012). Semakin kecil nilai </w:t>
      </w:r>
      <w:r w:rsidRPr="002335CB">
        <w:rPr>
          <w:rFonts w:ascii="Palatino Linotype" w:hAnsi="Palatino Linotype"/>
          <w:i/>
          <w:sz w:val="22"/>
          <w:szCs w:val="22"/>
        </w:rPr>
        <w:t>Vs</w:t>
      </w:r>
      <w:r w:rsidRPr="002335CB">
        <w:rPr>
          <w:rFonts w:ascii="Palatino Linotype" w:hAnsi="Palatino Linotype"/>
          <w:sz w:val="22"/>
          <w:szCs w:val="22"/>
          <w:vertAlign w:val="subscript"/>
        </w:rPr>
        <w:t>30</w:t>
      </w:r>
      <w:r w:rsidRPr="002335CB">
        <w:rPr>
          <w:rFonts w:ascii="Palatino Linotype" w:hAnsi="Palatino Linotype"/>
          <w:sz w:val="22"/>
          <w:szCs w:val="22"/>
        </w:rPr>
        <w:t xml:space="preserve"> maka </w:t>
      </w:r>
      <w:proofErr w:type="gramStart"/>
      <w:r w:rsidRPr="002335CB">
        <w:rPr>
          <w:rFonts w:ascii="Palatino Linotype" w:hAnsi="Palatino Linotype"/>
          <w:sz w:val="22"/>
          <w:szCs w:val="22"/>
        </w:rPr>
        <w:t>akan</w:t>
      </w:r>
      <w:proofErr w:type="gramEnd"/>
      <w:r w:rsidRPr="002335CB">
        <w:rPr>
          <w:rFonts w:ascii="Palatino Linotype" w:hAnsi="Palatino Linotype"/>
          <w:sz w:val="22"/>
          <w:szCs w:val="22"/>
        </w:rPr>
        <w:t xml:space="preserve"> semakin berisiko terhadap dampak gempabumi dan sebaliknya. Untuk itu pembagian klasifikasinya adalah sebagai berikut, </w:t>
      </w:r>
      <w:r w:rsidRPr="002335CB">
        <w:rPr>
          <w:rFonts w:ascii="Palatino Linotype" w:hAnsi="Palatino Linotype"/>
          <w:i/>
          <w:sz w:val="22"/>
          <w:szCs w:val="22"/>
        </w:rPr>
        <w:t>Vs</w:t>
      </w:r>
      <w:r w:rsidRPr="002335CB">
        <w:rPr>
          <w:rFonts w:ascii="Palatino Linotype" w:hAnsi="Palatino Linotype"/>
          <w:sz w:val="22"/>
          <w:szCs w:val="22"/>
          <w:vertAlign w:val="subscript"/>
        </w:rPr>
        <w:t>30</w:t>
      </w:r>
      <w:r w:rsidRPr="002335CB">
        <w:rPr>
          <w:rFonts w:ascii="Palatino Linotype" w:hAnsi="Palatino Linotype"/>
          <w:sz w:val="22"/>
          <w:szCs w:val="22"/>
        </w:rPr>
        <w:t xml:space="preserve"> ≤ 350 m/s berisiko besar, </w:t>
      </w:r>
      <w:r w:rsidRPr="002335CB">
        <w:rPr>
          <w:rFonts w:ascii="Palatino Linotype" w:hAnsi="Palatino Linotype"/>
          <w:i/>
          <w:sz w:val="22"/>
          <w:szCs w:val="22"/>
        </w:rPr>
        <w:t>Vs</w:t>
      </w:r>
      <w:r w:rsidRPr="002335CB">
        <w:rPr>
          <w:rFonts w:ascii="Palatino Linotype" w:hAnsi="Palatino Linotype"/>
          <w:sz w:val="22"/>
          <w:szCs w:val="22"/>
          <w:vertAlign w:val="subscript"/>
        </w:rPr>
        <w:t>30</w:t>
      </w:r>
      <w:r w:rsidRPr="002335CB">
        <w:rPr>
          <w:rFonts w:ascii="Palatino Linotype" w:hAnsi="Palatino Linotype"/>
          <w:sz w:val="22"/>
          <w:szCs w:val="22"/>
        </w:rPr>
        <w:t xml:space="preserve"> antara 350 m/s hingga 750 m/s berisiko sedang, dan </w:t>
      </w:r>
      <w:r w:rsidRPr="002335CB">
        <w:rPr>
          <w:rFonts w:ascii="Palatino Linotype" w:hAnsi="Palatino Linotype"/>
          <w:i/>
          <w:sz w:val="22"/>
          <w:szCs w:val="22"/>
        </w:rPr>
        <w:t>Vs</w:t>
      </w:r>
      <w:r w:rsidRPr="002335CB">
        <w:rPr>
          <w:rFonts w:ascii="Palatino Linotype" w:hAnsi="Palatino Linotype"/>
          <w:sz w:val="22"/>
          <w:szCs w:val="22"/>
          <w:vertAlign w:val="subscript"/>
        </w:rPr>
        <w:t>30</w:t>
      </w:r>
      <w:r w:rsidRPr="002335CB">
        <w:rPr>
          <w:rFonts w:ascii="Palatino Linotype" w:hAnsi="Palatino Linotype"/>
          <w:sz w:val="22"/>
          <w:szCs w:val="22"/>
        </w:rPr>
        <w:t xml:space="preserve"> ≥ 750 m/s berisiko rendah. Berdasarkan peta sebaran </w:t>
      </w:r>
      <w:r w:rsidRPr="002335CB">
        <w:rPr>
          <w:rFonts w:ascii="Palatino Linotype" w:hAnsi="Palatino Linotype"/>
          <w:i/>
          <w:sz w:val="22"/>
          <w:szCs w:val="22"/>
        </w:rPr>
        <w:t>Vs</w:t>
      </w:r>
      <w:r w:rsidRPr="002335CB">
        <w:rPr>
          <w:rFonts w:ascii="Palatino Linotype" w:hAnsi="Palatino Linotype"/>
          <w:sz w:val="22"/>
          <w:szCs w:val="22"/>
          <w:vertAlign w:val="subscript"/>
        </w:rPr>
        <w:t>30</w:t>
      </w:r>
      <w:r w:rsidRPr="002335CB">
        <w:rPr>
          <w:rFonts w:ascii="Palatino Linotype" w:hAnsi="Palatino Linotype"/>
          <w:sz w:val="22"/>
          <w:szCs w:val="22"/>
        </w:rPr>
        <w:t xml:space="preserve">, secara umum di Kota Bengkulu mempunyai risiko sedang hingga tinggi. Untuk nilai </w:t>
      </w:r>
      <w:r w:rsidRPr="002335CB">
        <w:rPr>
          <w:rFonts w:ascii="Palatino Linotype" w:hAnsi="Palatino Linotype"/>
          <w:i/>
          <w:sz w:val="22"/>
          <w:szCs w:val="22"/>
        </w:rPr>
        <w:t>Vs</w:t>
      </w:r>
      <w:r w:rsidRPr="002335CB">
        <w:rPr>
          <w:rFonts w:ascii="Palatino Linotype" w:hAnsi="Palatino Linotype"/>
          <w:sz w:val="22"/>
          <w:szCs w:val="22"/>
          <w:vertAlign w:val="subscript"/>
        </w:rPr>
        <w:t>30</w:t>
      </w:r>
      <w:r w:rsidRPr="002335CB">
        <w:rPr>
          <w:rFonts w:ascii="Palatino Linotype" w:hAnsi="Palatino Linotype"/>
          <w:sz w:val="22"/>
          <w:szCs w:val="22"/>
        </w:rPr>
        <w:t xml:space="preserve"> rendah perlu diwaspadai karena batuan di lokasi tersebut lebih lunak, sehingga ketika terjadi gempabumi batuan tersebut </w:t>
      </w:r>
      <w:proofErr w:type="gramStart"/>
      <w:r w:rsidRPr="002335CB">
        <w:rPr>
          <w:rFonts w:ascii="Palatino Linotype" w:hAnsi="Palatino Linotype"/>
          <w:sz w:val="22"/>
          <w:szCs w:val="22"/>
        </w:rPr>
        <w:t>akan</w:t>
      </w:r>
      <w:proofErr w:type="gramEnd"/>
      <w:r w:rsidRPr="002335CB">
        <w:rPr>
          <w:rFonts w:ascii="Palatino Linotype" w:hAnsi="Palatino Linotype"/>
          <w:sz w:val="22"/>
          <w:szCs w:val="22"/>
        </w:rPr>
        <w:t xml:space="preserve"> mudah terdeformasi. </w:t>
      </w:r>
    </w:p>
    <w:p w:rsidR="00C73E21" w:rsidRPr="002335CB" w:rsidRDefault="00C73E21" w:rsidP="007C3E02">
      <w:pPr>
        <w:tabs>
          <w:tab w:val="left" w:pos="567"/>
        </w:tabs>
        <w:ind w:firstLine="446"/>
        <w:jc w:val="both"/>
        <w:rPr>
          <w:rFonts w:ascii="Palatino Linotype" w:hAnsi="Palatino Linotype"/>
          <w:sz w:val="22"/>
          <w:szCs w:val="22"/>
        </w:rPr>
      </w:pPr>
      <w:r w:rsidRPr="002335CB">
        <w:rPr>
          <w:rFonts w:ascii="Palatino Linotype" w:hAnsi="Palatino Linotype"/>
          <w:sz w:val="22"/>
          <w:szCs w:val="22"/>
        </w:rPr>
        <w:t xml:space="preserve">Untuk peta PGA dihasilkan dari penyederhanaan peta PGA wilayah Sumatra bagian Selatan hasil studi dari Hadi </w:t>
      </w:r>
      <w:r w:rsidR="00601CA6" w:rsidRPr="002335CB">
        <w:rPr>
          <w:rFonts w:ascii="Palatino Linotype" w:hAnsi="Palatino Linotype"/>
          <w:sz w:val="22"/>
          <w:szCs w:val="22"/>
          <w:lang w:val="en-US"/>
        </w:rPr>
        <w:t xml:space="preserve">&amp; </w:t>
      </w:r>
      <w:r w:rsidRPr="002335CB">
        <w:rPr>
          <w:rFonts w:ascii="Palatino Linotype" w:hAnsi="Palatino Linotype"/>
          <w:sz w:val="22"/>
          <w:szCs w:val="22"/>
        </w:rPr>
        <w:t xml:space="preserve">Brotopuspito (2015). Nilai PGA ini merupakan PGA batuan dasar yang diolah menggunakan pendekatan PSHA. Hasil penyederhanaan sebaran peta PGA batuan dasar di Kota Bengkulu ditampilkan pada Gambar 3. </w:t>
      </w:r>
    </w:p>
    <w:p w:rsidR="007C3E02" w:rsidRPr="00C73E21" w:rsidRDefault="007C3E02" w:rsidP="007C3E02">
      <w:pPr>
        <w:tabs>
          <w:tab w:val="left" w:pos="567"/>
        </w:tabs>
        <w:ind w:firstLine="446"/>
        <w:jc w:val="both"/>
        <w:rPr>
          <w:rFonts w:ascii="Palatino Linotype" w:hAnsi="Palatino Linotype"/>
          <w:b/>
          <w:sz w:val="22"/>
          <w:szCs w:val="22"/>
        </w:rPr>
      </w:pPr>
      <w:r w:rsidRPr="002335CB">
        <w:rPr>
          <w:rFonts w:ascii="Palatino Linotype" w:hAnsi="Palatino Linotype"/>
          <w:sz w:val="22"/>
          <w:szCs w:val="22"/>
        </w:rPr>
        <w:t>Nilai PGA yang diperoleh antara 0,3</w:t>
      </w:r>
      <w:r w:rsidRPr="00C73E21">
        <w:rPr>
          <w:rFonts w:ascii="Palatino Linotype" w:hAnsi="Palatino Linotype"/>
          <w:sz w:val="22"/>
          <w:szCs w:val="22"/>
        </w:rPr>
        <w:t xml:space="preserve">72 g – 0,394 g. Jangkauan nilai PGA ini berada pada kategori ancaman bahaya gempa sedang. Menurut Peraturan Kepala Badan Nasional Penanggulangan Bencana Nomor 2 Tahun 2012 tentang Pedoman Umum Pengkajian Risiko Bencana </w:t>
      </w:r>
      <w:r w:rsidRPr="002335CB">
        <w:rPr>
          <w:rFonts w:ascii="Palatino Linotype" w:hAnsi="Palatino Linotype"/>
          <w:sz w:val="22"/>
          <w:szCs w:val="22"/>
        </w:rPr>
        <w:t>(BNPB, 2012), kelas</w:t>
      </w:r>
      <w:r w:rsidRPr="00C73E21">
        <w:rPr>
          <w:rFonts w:ascii="Palatino Linotype" w:hAnsi="Palatino Linotype"/>
          <w:sz w:val="22"/>
          <w:szCs w:val="22"/>
        </w:rPr>
        <w:t xml:space="preserve"> indeks untuk ancaman bahaya gempa adalah sebagai berikut, PGA &lt; 0,26 g termasuk pada kategori rendah, 0,26 g </w:t>
      </w:r>
      <w:r w:rsidRPr="00C73E21">
        <w:rPr>
          <w:rFonts w:ascii="Palatino Linotype" w:hAnsi="Palatino Linotype" w:cs="Arial"/>
          <w:sz w:val="22"/>
          <w:szCs w:val="22"/>
        </w:rPr>
        <w:t>≥</w:t>
      </w:r>
      <w:r w:rsidRPr="00C73E21">
        <w:rPr>
          <w:rFonts w:ascii="Palatino Linotype" w:hAnsi="Palatino Linotype"/>
          <w:sz w:val="22"/>
          <w:szCs w:val="22"/>
        </w:rPr>
        <w:t xml:space="preserve"> PGA </w:t>
      </w:r>
      <w:r w:rsidRPr="00C73E21">
        <w:rPr>
          <w:sz w:val="22"/>
          <w:szCs w:val="22"/>
        </w:rPr>
        <w:t>˂</w:t>
      </w:r>
      <w:r w:rsidRPr="00C73E21">
        <w:rPr>
          <w:rFonts w:ascii="Palatino Linotype" w:hAnsi="Palatino Linotype"/>
          <w:sz w:val="22"/>
          <w:szCs w:val="22"/>
        </w:rPr>
        <w:t xml:space="preserve"> 0,7 g pada kateori </w:t>
      </w:r>
      <w:r w:rsidRPr="00C73E21">
        <w:rPr>
          <w:rFonts w:ascii="Palatino Linotype" w:hAnsi="Palatino Linotype"/>
          <w:sz w:val="22"/>
          <w:szCs w:val="22"/>
        </w:rPr>
        <w:lastRenderedPageBreak/>
        <w:t xml:space="preserve">sedang, dan PGA </w:t>
      </w:r>
      <w:r w:rsidRPr="00C73E21">
        <w:rPr>
          <w:rFonts w:ascii="Palatino Linotype" w:hAnsi="Palatino Linotype" w:cs="Arial"/>
          <w:sz w:val="22"/>
          <w:szCs w:val="22"/>
        </w:rPr>
        <w:t>≥</w:t>
      </w:r>
      <w:r w:rsidRPr="00C73E21">
        <w:rPr>
          <w:rFonts w:ascii="Palatino Linotype" w:hAnsi="Palatino Linotype"/>
          <w:sz w:val="22"/>
          <w:szCs w:val="22"/>
        </w:rPr>
        <w:t xml:space="preserve"> 0,7 g berada pada kategori tinggi. Pembagian klasifikasi pembobotan pada studi ini mengacu kepada peraturan tersebut. Semakin tinggi nilai PGA di suatu wilayah maka semakin berisiko terhadap ancaman gempa.</w:t>
      </w:r>
    </w:p>
    <w:p w:rsidR="000E6D39" w:rsidRDefault="009633F6" w:rsidP="007C3E02">
      <w:pPr>
        <w:tabs>
          <w:tab w:val="left" w:pos="567"/>
        </w:tabs>
        <w:spacing w:before="120"/>
        <w:jc w:val="both"/>
        <w:rPr>
          <w:rFonts w:ascii="Palatino Linotype" w:hAnsi="Palatino Linotype"/>
          <w:b/>
          <w:sz w:val="22"/>
          <w:szCs w:val="22"/>
        </w:rPr>
      </w:pPr>
      <w:r>
        <w:rPr>
          <w:noProof/>
          <w:lang w:val="en-US"/>
        </w:rPr>
        <w:drawing>
          <wp:inline distT="0" distB="0" distL="0" distR="0" wp14:anchorId="0ABFAB38" wp14:editId="76183DC9">
            <wp:extent cx="2877820" cy="2026683"/>
            <wp:effectExtent l="19050" t="19050" r="17780" b="120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 PETA PGA (Tanpa Data Pengukuran).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77820" cy="2026683"/>
                    </a:xfrm>
                    <a:prstGeom prst="rect">
                      <a:avLst/>
                    </a:prstGeom>
                    <a:ln>
                      <a:solidFill>
                        <a:schemeClr val="tx1"/>
                      </a:solidFill>
                    </a:ln>
                  </pic:spPr>
                </pic:pic>
              </a:graphicData>
            </a:graphic>
          </wp:inline>
        </w:drawing>
      </w:r>
    </w:p>
    <w:p w:rsidR="009633F6" w:rsidRPr="002335CB" w:rsidRDefault="00463988" w:rsidP="009633F6">
      <w:pPr>
        <w:pStyle w:val="Default"/>
        <w:jc w:val="both"/>
        <w:rPr>
          <w:rFonts w:ascii="Palatino Linotype" w:hAnsi="Palatino Linotype"/>
          <w:b/>
          <w:sz w:val="20"/>
          <w:szCs w:val="20"/>
        </w:rPr>
      </w:pPr>
      <w:r>
        <w:rPr>
          <w:rFonts w:ascii="Palatino Linotype" w:hAnsi="Palatino Linotype"/>
          <w:b/>
          <w:sz w:val="20"/>
          <w:szCs w:val="20"/>
        </w:rPr>
        <w:t xml:space="preserve">Gambar </w:t>
      </w:r>
      <w:r w:rsidR="009633F6" w:rsidRPr="009633F6">
        <w:rPr>
          <w:rFonts w:ascii="Palatino Linotype" w:hAnsi="Palatino Linotype"/>
          <w:b/>
          <w:sz w:val="20"/>
          <w:szCs w:val="20"/>
        </w:rPr>
        <w:t xml:space="preserve">3. Sebaran peta PGA di Kota Bengkulu, Provinsi Bengkulu (penyederhaan dari </w:t>
      </w:r>
      <w:r w:rsidR="009633F6" w:rsidRPr="002335CB">
        <w:rPr>
          <w:rFonts w:ascii="Palatino Linotype" w:hAnsi="Palatino Linotype"/>
          <w:b/>
          <w:sz w:val="20"/>
          <w:szCs w:val="20"/>
        </w:rPr>
        <w:t xml:space="preserve">Hadi </w:t>
      </w:r>
      <w:r w:rsidR="00D677C7" w:rsidRPr="002335CB">
        <w:rPr>
          <w:rFonts w:ascii="Palatino Linotype" w:hAnsi="Palatino Linotype"/>
          <w:b/>
          <w:sz w:val="20"/>
          <w:szCs w:val="20"/>
        </w:rPr>
        <w:t>&amp;</w:t>
      </w:r>
      <w:r w:rsidR="009633F6" w:rsidRPr="002335CB">
        <w:rPr>
          <w:rFonts w:ascii="Palatino Linotype" w:hAnsi="Palatino Linotype"/>
          <w:b/>
          <w:sz w:val="20"/>
          <w:szCs w:val="20"/>
        </w:rPr>
        <w:t xml:space="preserve"> Brotopuspito, 2015). </w:t>
      </w:r>
    </w:p>
    <w:p w:rsidR="00AF76EC" w:rsidRDefault="00AF76EC" w:rsidP="007C3E02">
      <w:pPr>
        <w:pStyle w:val="Default"/>
        <w:spacing w:before="120"/>
        <w:ind w:firstLine="446"/>
        <w:jc w:val="both"/>
        <w:rPr>
          <w:rFonts w:ascii="Palatino Linotype" w:hAnsi="Palatino Linotype"/>
          <w:sz w:val="22"/>
          <w:szCs w:val="22"/>
        </w:rPr>
      </w:pPr>
      <w:r w:rsidRPr="00AF76EC">
        <w:rPr>
          <w:rFonts w:ascii="Palatino Linotype" w:hAnsi="Palatino Linotype"/>
          <w:sz w:val="22"/>
          <w:szCs w:val="22"/>
        </w:rPr>
        <w:t>Nilai-nilai PGA pada masing-masing titik-titik lokasi penelitian ini dijadikan sebagai parameter</w:t>
      </w:r>
      <w:r w:rsidRPr="00AF76EC">
        <w:rPr>
          <w:rFonts w:ascii="Palatino Linotype" w:hAnsi="Palatino Linotype"/>
          <w:i/>
          <w:sz w:val="22"/>
          <w:szCs w:val="22"/>
        </w:rPr>
        <w:t xml:space="preserve"> input</w:t>
      </w:r>
      <w:r w:rsidRPr="00AF76EC">
        <w:rPr>
          <w:rFonts w:ascii="Palatino Linotype" w:hAnsi="Palatino Linotype"/>
          <w:sz w:val="22"/>
          <w:szCs w:val="22"/>
        </w:rPr>
        <w:t xml:space="preserve"> untuk mendapatkan nilai M</w:t>
      </w:r>
      <w:r>
        <w:rPr>
          <w:rFonts w:ascii="Palatino Linotype" w:hAnsi="Palatino Linotype"/>
          <w:sz w:val="22"/>
          <w:szCs w:val="22"/>
        </w:rPr>
        <w:t>MI melalui hubungan Persamaan (1</w:t>
      </w:r>
      <w:r w:rsidRPr="00AF76EC">
        <w:rPr>
          <w:rFonts w:ascii="Palatino Linotype" w:hAnsi="Palatino Linotype"/>
          <w:sz w:val="22"/>
          <w:szCs w:val="22"/>
        </w:rPr>
        <w:t>). Melalui hubungan ini maka dapat diperoleh peta sebaran MMI di daerah studi sebag</w:t>
      </w:r>
      <w:r>
        <w:rPr>
          <w:rFonts w:ascii="Palatino Linotype" w:hAnsi="Palatino Linotype"/>
          <w:sz w:val="22"/>
          <w:szCs w:val="22"/>
        </w:rPr>
        <w:t xml:space="preserve">aimana ditunjukkan pada Gambar </w:t>
      </w:r>
      <w:r w:rsidRPr="00AF76EC">
        <w:rPr>
          <w:rFonts w:ascii="Palatino Linotype" w:hAnsi="Palatino Linotype"/>
          <w:sz w:val="22"/>
          <w:szCs w:val="22"/>
        </w:rPr>
        <w:t xml:space="preserve">4. </w:t>
      </w:r>
    </w:p>
    <w:p w:rsidR="00AF76EC" w:rsidRDefault="00AF76EC" w:rsidP="00937944">
      <w:pPr>
        <w:pStyle w:val="Default"/>
        <w:spacing w:before="120"/>
        <w:jc w:val="both"/>
        <w:rPr>
          <w:rFonts w:ascii="Palatino Linotype" w:hAnsi="Palatino Linotype"/>
          <w:sz w:val="22"/>
          <w:szCs w:val="22"/>
        </w:rPr>
      </w:pPr>
      <w:r>
        <w:rPr>
          <w:noProof/>
        </w:rPr>
        <w:drawing>
          <wp:inline distT="0" distB="0" distL="0" distR="0" wp14:anchorId="63A99A3D" wp14:editId="7C8F0606">
            <wp:extent cx="2877820" cy="2026683"/>
            <wp:effectExtent l="19050" t="19050" r="17780" b="1206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3. PETA MMI KOTA BENGKULU.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77820" cy="2026683"/>
                    </a:xfrm>
                    <a:prstGeom prst="rect">
                      <a:avLst/>
                    </a:prstGeom>
                    <a:ln>
                      <a:solidFill>
                        <a:schemeClr val="tx1"/>
                      </a:solidFill>
                    </a:ln>
                  </pic:spPr>
                </pic:pic>
              </a:graphicData>
            </a:graphic>
          </wp:inline>
        </w:drawing>
      </w:r>
    </w:p>
    <w:p w:rsidR="00AF76EC" w:rsidRPr="00AF76EC" w:rsidRDefault="00AF76EC" w:rsidP="00AF76EC">
      <w:pPr>
        <w:pStyle w:val="Default"/>
        <w:jc w:val="both"/>
        <w:rPr>
          <w:rFonts w:ascii="Palatino Linotype" w:hAnsi="Palatino Linotype"/>
          <w:b/>
          <w:sz w:val="20"/>
          <w:szCs w:val="20"/>
        </w:rPr>
      </w:pPr>
      <w:r w:rsidRPr="00AF76EC">
        <w:rPr>
          <w:rFonts w:ascii="Palatino Linotype" w:hAnsi="Palatino Linotype"/>
          <w:b/>
          <w:sz w:val="20"/>
          <w:szCs w:val="20"/>
        </w:rPr>
        <w:t>Gambar 4. Peta sebaran MMI di Kota Bengkulu, Provinsi Bengkulu.</w:t>
      </w:r>
    </w:p>
    <w:p w:rsidR="00AF76EC" w:rsidRPr="00AF76EC" w:rsidRDefault="00AF76EC" w:rsidP="00937944">
      <w:pPr>
        <w:pStyle w:val="Default"/>
        <w:spacing w:before="120"/>
        <w:ind w:firstLine="446"/>
        <w:jc w:val="both"/>
        <w:rPr>
          <w:rFonts w:ascii="Palatino Linotype" w:hAnsi="Palatino Linotype"/>
          <w:sz w:val="22"/>
          <w:szCs w:val="22"/>
        </w:rPr>
      </w:pPr>
      <w:r w:rsidRPr="00AF76EC">
        <w:rPr>
          <w:rFonts w:ascii="Palatino Linotype" w:hAnsi="Palatino Linotype"/>
          <w:sz w:val="22"/>
          <w:szCs w:val="22"/>
        </w:rPr>
        <w:t>Nilai MMI pada wilayah studi diperoleh antara 7</w:t>
      </w:r>
      <w:proofErr w:type="gramStart"/>
      <w:r w:rsidRPr="00AF76EC">
        <w:rPr>
          <w:rFonts w:ascii="Palatino Linotype" w:hAnsi="Palatino Linotype"/>
          <w:sz w:val="22"/>
          <w:szCs w:val="22"/>
        </w:rPr>
        <w:t>,72</w:t>
      </w:r>
      <w:proofErr w:type="gramEnd"/>
      <w:r w:rsidRPr="00AF76EC">
        <w:rPr>
          <w:rFonts w:ascii="Palatino Linotype" w:hAnsi="Palatino Linotype"/>
          <w:sz w:val="22"/>
          <w:szCs w:val="22"/>
        </w:rPr>
        <w:t xml:space="preserve"> – 7,80. Rentang nilai ini berada pada kategori berisiko tinggi. </w:t>
      </w:r>
      <w:r w:rsidRPr="00EE71CB">
        <w:rPr>
          <w:rFonts w:ascii="Palatino Linotype" w:hAnsi="Palatino Linotype"/>
          <w:sz w:val="22"/>
          <w:szCs w:val="22"/>
        </w:rPr>
        <w:t xml:space="preserve">Menurut Wood </w:t>
      </w:r>
      <w:r w:rsidR="000836B0" w:rsidRPr="00EE71CB">
        <w:rPr>
          <w:rFonts w:ascii="Palatino Linotype" w:hAnsi="Palatino Linotype"/>
          <w:sz w:val="22"/>
          <w:szCs w:val="22"/>
        </w:rPr>
        <w:t>&amp;</w:t>
      </w:r>
      <w:r w:rsidRPr="00EE71CB">
        <w:rPr>
          <w:rFonts w:ascii="Palatino Linotype" w:hAnsi="Palatino Linotype"/>
          <w:sz w:val="22"/>
          <w:szCs w:val="22"/>
        </w:rPr>
        <w:t xml:space="preserve"> Ratliff (2011), MMI pada skala ≥ 7 </w:t>
      </w:r>
      <w:proofErr w:type="gramStart"/>
      <w:r w:rsidRPr="00EE71CB">
        <w:rPr>
          <w:rFonts w:ascii="Palatino Linotype" w:hAnsi="Palatino Linotype"/>
          <w:sz w:val="22"/>
          <w:szCs w:val="22"/>
        </w:rPr>
        <w:t>akan</w:t>
      </w:r>
      <w:proofErr w:type="gramEnd"/>
      <w:r w:rsidRPr="00EE71CB">
        <w:rPr>
          <w:rFonts w:ascii="Palatino Linotype" w:hAnsi="Palatino Linotype"/>
          <w:sz w:val="22"/>
          <w:szCs w:val="22"/>
        </w:rPr>
        <w:t xml:space="preserve"> mengakibatkan k</w:t>
      </w:r>
      <w:r w:rsidRPr="00EE71CB">
        <w:rPr>
          <w:rFonts w:ascii="Palatino Linotype" w:hAnsi="Palatino Linotype"/>
          <w:color w:val="000000" w:themeColor="text1"/>
          <w:sz w:val="22"/>
          <w:szCs w:val="22"/>
        </w:rPr>
        <w:t>erusakan ringan hingga</w:t>
      </w:r>
      <w:r w:rsidRPr="00AF76EC">
        <w:rPr>
          <w:rFonts w:ascii="Palatino Linotype" w:hAnsi="Palatino Linotype"/>
          <w:color w:val="000000" w:themeColor="text1"/>
          <w:sz w:val="22"/>
          <w:szCs w:val="22"/>
        </w:rPr>
        <w:t xml:space="preserve"> kerusakan paling parah jika terjadi gempabumi. Semakin besar nilai MMI </w:t>
      </w:r>
      <w:proofErr w:type="gramStart"/>
      <w:r w:rsidRPr="00AF76EC">
        <w:rPr>
          <w:rFonts w:ascii="Palatino Linotype" w:hAnsi="Palatino Linotype"/>
          <w:color w:val="000000" w:themeColor="text1"/>
          <w:sz w:val="22"/>
          <w:szCs w:val="22"/>
        </w:rPr>
        <w:t>akan</w:t>
      </w:r>
      <w:proofErr w:type="gramEnd"/>
      <w:r w:rsidRPr="00AF76EC">
        <w:rPr>
          <w:rFonts w:ascii="Palatino Linotype" w:hAnsi="Palatino Linotype"/>
          <w:color w:val="000000" w:themeColor="text1"/>
          <w:sz w:val="22"/>
          <w:szCs w:val="22"/>
        </w:rPr>
        <w:t xml:space="preserve"> berisiko besar terhadap kejadian gempa dan </w:t>
      </w:r>
      <w:r w:rsidRPr="00AF76EC">
        <w:rPr>
          <w:rFonts w:ascii="Palatino Linotype" w:hAnsi="Palatino Linotype"/>
          <w:color w:val="000000" w:themeColor="text1"/>
          <w:sz w:val="22"/>
          <w:szCs w:val="22"/>
        </w:rPr>
        <w:t xml:space="preserve">sebaliknya. Klasifikasi pembobotan pada studi ini berdasarkan deskripsi dampak sosial yang ditimbulkan akibat gempa yaitu untuk MMI </w:t>
      </w:r>
      <w:r w:rsidRPr="00AF76EC">
        <w:rPr>
          <w:color w:val="000000" w:themeColor="text1"/>
          <w:sz w:val="22"/>
          <w:szCs w:val="22"/>
        </w:rPr>
        <w:t>˂</w:t>
      </w:r>
      <w:r w:rsidRPr="00AF76EC">
        <w:rPr>
          <w:rFonts w:ascii="Palatino Linotype" w:hAnsi="Palatino Linotype"/>
          <w:color w:val="000000" w:themeColor="text1"/>
          <w:sz w:val="22"/>
          <w:szCs w:val="22"/>
        </w:rPr>
        <w:t xml:space="preserve"> 4 berisiko ringan, MMI antara 4 hingga 7 berisiko sedang, dan MMI ≥ 7 berisiko besar. </w:t>
      </w:r>
    </w:p>
    <w:p w:rsidR="000178D4" w:rsidRPr="000178D4" w:rsidRDefault="000178D4" w:rsidP="000178D4">
      <w:pPr>
        <w:pStyle w:val="Default"/>
        <w:ind w:firstLine="450"/>
        <w:jc w:val="both"/>
        <w:rPr>
          <w:rFonts w:ascii="Palatino Linotype" w:hAnsi="Palatino Linotype"/>
          <w:sz w:val="22"/>
          <w:szCs w:val="22"/>
        </w:rPr>
      </w:pPr>
      <w:r w:rsidRPr="000178D4">
        <w:rPr>
          <w:rFonts w:ascii="Palatino Linotype" w:hAnsi="Palatino Linotype"/>
          <w:sz w:val="22"/>
          <w:szCs w:val="22"/>
        </w:rPr>
        <w:t>Data Survai lapangan yang berupa data mikrotremor terdiri dari 277 data pengukuran yang tersebar di Kota Bengkulu dan sekitarnya Berikut ini adalah salah satu contoh sinyal yang dihasilkan</w:t>
      </w:r>
      <w:r w:rsidR="00141E12">
        <w:rPr>
          <w:rFonts w:ascii="Palatino Linotype" w:hAnsi="Palatino Linotype"/>
          <w:sz w:val="22"/>
          <w:szCs w:val="22"/>
        </w:rPr>
        <w:t xml:space="preserve"> dari data mikrotremor (Gambar </w:t>
      </w:r>
      <w:r w:rsidRPr="000178D4">
        <w:rPr>
          <w:rFonts w:ascii="Palatino Linotype" w:hAnsi="Palatino Linotype"/>
          <w:sz w:val="22"/>
          <w:szCs w:val="22"/>
        </w:rPr>
        <w:t xml:space="preserve">5). </w:t>
      </w:r>
    </w:p>
    <w:p w:rsidR="00141E12" w:rsidRDefault="004F0B25" w:rsidP="00506287">
      <w:pPr>
        <w:tabs>
          <w:tab w:val="left" w:pos="567"/>
        </w:tabs>
        <w:spacing w:before="120"/>
        <w:jc w:val="both"/>
        <w:rPr>
          <w:rFonts w:ascii="Palatino Linotype" w:hAnsi="Palatino Linotype"/>
          <w:b/>
          <w:sz w:val="22"/>
          <w:szCs w:val="22"/>
        </w:rPr>
      </w:pPr>
      <w:r>
        <w:rPr>
          <w:noProof/>
          <w:lang w:val="en-US"/>
        </w:rPr>
        <w:drawing>
          <wp:inline distT="0" distB="0" distL="0" distR="0" wp14:anchorId="676ABC6B" wp14:editId="04CB4F75">
            <wp:extent cx="2877820" cy="1383133"/>
            <wp:effectExtent l="19050" t="19050" r="17780" b="266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how data a5.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77820" cy="1383133"/>
                    </a:xfrm>
                    <a:prstGeom prst="rect">
                      <a:avLst/>
                    </a:prstGeom>
                    <a:ln>
                      <a:solidFill>
                        <a:schemeClr val="tx1"/>
                      </a:solidFill>
                    </a:ln>
                  </pic:spPr>
                </pic:pic>
              </a:graphicData>
            </a:graphic>
          </wp:inline>
        </w:drawing>
      </w:r>
    </w:p>
    <w:p w:rsidR="004F0B25" w:rsidRPr="004F0B25" w:rsidRDefault="004F0B25" w:rsidP="004F0B25">
      <w:pPr>
        <w:pStyle w:val="Default"/>
        <w:jc w:val="both"/>
        <w:rPr>
          <w:rFonts w:ascii="Palatino Linotype" w:hAnsi="Palatino Linotype"/>
          <w:b/>
          <w:sz w:val="20"/>
          <w:szCs w:val="20"/>
        </w:rPr>
      </w:pPr>
      <w:r>
        <w:rPr>
          <w:rFonts w:ascii="Palatino Linotype" w:hAnsi="Palatino Linotype"/>
          <w:b/>
          <w:sz w:val="20"/>
          <w:szCs w:val="20"/>
        </w:rPr>
        <w:t xml:space="preserve">Gambar </w:t>
      </w:r>
      <w:r w:rsidRPr="004F0B25">
        <w:rPr>
          <w:rFonts w:ascii="Palatino Linotype" w:hAnsi="Palatino Linotype"/>
          <w:b/>
          <w:sz w:val="20"/>
          <w:szCs w:val="20"/>
        </w:rPr>
        <w:t xml:space="preserve">5. Contoh data sinyal seismik pada titik pengukuran a5. (a) </w:t>
      </w:r>
      <w:proofErr w:type="gramStart"/>
      <w:r w:rsidRPr="004F0B25">
        <w:rPr>
          <w:rFonts w:ascii="Palatino Linotype" w:hAnsi="Palatino Linotype"/>
          <w:b/>
          <w:sz w:val="20"/>
          <w:szCs w:val="20"/>
        </w:rPr>
        <w:t>sinyal</w:t>
      </w:r>
      <w:proofErr w:type="gramEnd"/>
      <w:r w:rsidRPr="004F0B25">
        <w:rPr>
          <w:rFonts w:ascii="Palatino Linotype" w:hAnsi="Palatino Linotype"/>
          <w:b/>
          <w:sz w:val="20"/>
          <w:szCs w:val="20"/>
        </w:rPr>
        <w:t xml:space="preserve"> seismik yang berasal dari gabungan tiga komponen, (b) sinyal seismik dari komponen utara-selatan (N-S), (c) sinyal seismik dari komponen timur-barat (E-W), dan (d) sinyal seismik dari komponen atas-bawah (U-D).</w:t>
      </w:r>
    </w:p>
    <w:p w:rsidR="00BA703E" w:rsidRDefault="00BA703E" w:rsidP="00506287">
      <w:pPr>
        <w:pStyle w:val="Default"/>
        <w:spacing w:before="120"/>
        <w:ind w:firstLine="446"/>
        <w:jc w:val="both"/>
        <w:rPr>
          <w:rFonts w:ascii="Palatino Linotype" w:hAnsi="Palatino Linotype"/>
          <w:sz w:val="22"/>
          <w:szCs w:val="22"/>
        </w:rPr>
      </w:pPr>
      <w:r w:rsidRPr="00BA703E">
        <w:rPr>
          <w:rFonts w:ascii="Palatino Linotype" w:hAnsi="Palatino Linotype"/>
          <w:sz w:val="22"/>
          <w:szCs w:val="22"/>
        </w:rPr>
        <w:t xml:space="preserve">Pengukuran data lapangan pada setiap lokasi penelitian dilakukan selama 30 menit, sehingga diperoleh frekuensi yang rendah atau ketebalan sedimen yang lebih dalam. </w:t>
      </w:r>
      <w:r>
        <w:rPr>
          <w:rFonts w:ascii="Palatino Linotype" w:hAnsi="Palatino Linotype"/>
          <w:sz w:val="22"/>
          <w:szCs w:val="22"/>
        </w:rPr>
        <w:t>Untuk memperoleh sinyal alamiah yang lebih banyak dipilih l</w:t>
      </w:r>
      <w:r w:rsidRPr="00BA703E">
        <w:rPr>
          <w:rFonts w:ascii="Palatino Linotype" w:hAnsi="Palatino Linotype"/>
          <w:sz w:val="22"/>
          <w:szCs w:val="22"/>
        </w:rPr>
        <w:t xml:space="preserve">ebar </w:t>
      </w:r>
      <w:r w:rsidRPr="00BA703E">
        <w:rPr>
          <w:rFonts w:ascii="Palatino Linotype" w:hAnsi="Palatino Linotype"/>
          <w:i/>
          <w:sz w:val="22"/>
          <w:szCs w:val="22"/>
        </w:rPr>
        <w:t>window</w:t>
      </w:r>
      <w:r w:rsidRPr="00BA703E">
        <w:rPr>
          <w:rFonts w:ascii="Palatino Linotype" w:hAnsi="Palatino Linotype"/>
          <w:sz w:val="22"/>
          <w:szCs w:val="22"/>
        </w:rPr>
        <w:t xml:space="preserve"> </w:t>
      </w:r>
      <w:r>
        <w:rPr>
          <w:rFonts w:ascii="Palatino Linotype" w:hAnsi="Palatino Linotype"/>
          <w:sz w:val="22"/>
          <w:szCs w:val="22"/>
        </w:rPr>
        <w:t xml:space="preserve">sejumlah 15 detik. </w:t>
      </w:r>
      <w:r w:rsidRPr="00BA703E">
        <w:rPr>
          <w:rFonts w:ascii="Palatino Linotype" w:hAnsi="Palatino Linotype"/>
          <w:sz w:val="22"/>
          <w:szCs w:val="22"/>
        </w:rPr>
        <w:t xml:space="preserve">Semakin banyak sinyal alamiah yang didapatkan maka </w:t>
      </w:r>
      <w:proofErr w:type="gramStart"/>
      <w:r w:rsidRPr="00BA703E">
        <w:rPr>
          <w:rFonts w:ascii="Palatino Linotype" w:hAnsi="Palatino Linotype"/>
          <w:sz w:val="22"/>
          <w:szCs w:val="22"/>
        </w:rPr>
        <w:t>akan</w:t>
      </w:r>
      <w:proofErr w:type="gramEnd"/>
      <w:r w:rsidRPr="00BA703E">
        <w:rPr>
          <w:rFonts w:ascii="Palatino Linotype" w:hAnsi="Palatino Linotype"/>
          <w:sz w:val="22"/>
          <w:szCs w:val="22"/>
        </w:rPr>
        <w:t xml:space="preserve"> semakin banyak data yang dapat dianalisis. Untuk pengolahan data, dipilih jangkauan frekuensi antara 0</w:t>
      </w:r>
      <w:proofErr w:type="gramStart"/>
      <w:r w:rsidRPr="00BA703E">
        <w:rPr>
          <w:rFonts w:ascii="Palatino Linotype" w:hAnsi="Palatino Linotype"/>
          <w:sz w:val="22"/>
          <w:szCs w:val="22"/>
        </w:rPr>
        <w:t>,5</w:t>
      </w:r>
      <w:proofErr w:type="gramEnd"/>
      <w:r w:rsidRPr="00BA703E">
        <w:rPr>
          <w:rFonts w:ascii="Palatino Linotype" w:hAnsi="Palatino Linotype"/>
          <w:sz w:val="22"/>
          <w:szCs w:val="22"/>
        </w:rPr>
        <w:t xml:space="preserve"> Hz – 20 Hz. Hal ini dimaksudkan agar frekuensi yang dipilih benar-benar berasal dari sinyal alami atau bukan </w:t>
      </w:r>
      <w:r w:rsidRPr="00BA703E">
        <w:rPr>
          <w:rFonts w:ascii="Palatino Linotype" w:hAnsi="Palatino Linotype"/>
          <w:i/>
          <w:sz w:val="22"/>
          <w:szCs w:val="22"/>
        </w:rPr>
        <w:t>noise</w:t>
      </w:r>
      <w:r w:rsidRPr="00BA703E">
        <w:rPr>
          <w:rFonts w:ascii="Palatino Linotype" w:hAnsi="Palatino Linotype"/>
          <w:sz w:val="22"/>
          <w:szCs w:val="22"/>
        </w:rPr>
        <w:t xml:space="preserve">. Data yang telah diolah menggunakan </w:t>
      </w:r>
      <w:r w:rsidRPr="00BA703E">
        <w:rPr>
          <w:rFonts w:ascii="Palatino Linotype" w:hAnsi="Palatino Linotype"/>
          <w:i/>
          <w:sz w:val="22"/>
          <w:szCs w:val="22"/>
        </w:rPr>
        <w:t>Sotfware</w:t>
      </w:r>
      <w:r w:rsidRPr="00BA703E">
        <w:rPr>
          <w:rFonts w:ascii="Palatino Linotype" w:hAnsi="Palatino Linotype"/>
          <w:sz w:val="22"/>
          <w:szCs w:val="22"/>
        </w:rPr>
        <w:t xml:space="preserve"> win-MASW 5.2 HVSR semua memenuhi kriteria reliabilitas dari SESAME, sehingga data yang digunakan dapat diandalkan. Hasil data mikrotremor berupa nilai frekuensi dominan dan faktor ampilifikasi di setiap lokasi penelitian, seperti ditampilkan pada Gambar 6. </w:t>
      </w:r>
    </w:p>
    <w:p w:rsidR="00AF5087" w:rsidRPr="00194984" w:rsidRDefault="00AF5087" w:rsidP="00AF5087">
      <w:pPr>
        <w:pStyle w:val="Default"/>
        <w:ind w:firstLine="446"/>
        <w:jc w:val="both"/>
        <w:rPr>
          <w:rFonts w:ascii="Palatino Linotype" w:hAnsi="Palatino Linotype"/>
          <w:sz w:val="22"/>
          <w:szCs w:val="22"/>
        </w:rPr>
      </w:pPr>
      <w:r w:rsidRPr="00194984">
        <w:rPr>
          <w:rFonts w:ascii="Palatino Linotype" w:hAnsi="Palatino Linotype"/>
          <w:sz w:val="22"/>
          <w:szCs w:val="22"/>
        </w:rPr>
        <w:t>Nilai frekuensi dominan dan faktor amplifikasi pada setiap titik pengukuran selanjutnya dijadikan parameter input untuk mendapatk</w:t>
      </w:r>
      <w:r>
        <w:rPr>
          <w:rFonts w:ascii="Palatino Linotype" w:hAnsi="Palatino Linotype"/>
          <w:sz w:val="22"/>
          <w:szCs w:val="22"/>
        </w:rPr>
        <w:t>an nilai GSS sesuai Persamaan (2</w:t>
      </w:r>
      <w:r w:rsidRPr="00194984">
        <w:rPr>
          <w:rFonts w:ascii="Palatino Linotype" w:hAnsi="Palatino Linotype"/>
          <w:sz w:val="22"/>
          <w:szCs w:val="22"/>
        </w:rPr>
        <w:t xml:space="preserve">). </w:t>
      </w:r>
      <w:r w:rsidRPr="00194984">
        <w:rPr>
          <w:rFonts w:ascii="Palatino Linotype" w:hAnsi="Palatino Linotype"/>
          <w:sz w:val="22"/>
          <w:szCs w:val="22"/>
        </w:rPr>
        <w:lastRenderedPageBreak/>
        <w:t xml:space="preserve">Untuk nilai PGA batuan dasar </w:t>
      </w:r>
      <w:r>
        <w:rPr>
          <w:rFonts w:ascii="Palatino Linotype" w:hAnsi="Palatino Linotype"/>
          <w:sz w:val="22"/>
          <w:szCs w:val="22"/>
        </w:rPr>
        <w:t xml:space="preserve">pada Persamaan (2) </w:t>
      </w:r>
      <w:r w:rsidRPr="00194984">
        <w:rPr>
          <w:rFonts w:ascii="Palatino Linotype" w:hAnsi="Palatino Linotype"/>
          <w:sz w:val="22"/>
          <w:szCs w:val="22"/>
        </w:rPr>
        <w:t xml:space="preserve">didapatkan dari hasil studi </w:t>
      </w:r>
      <w:r w:rsidRPr="00BF68DE">
        <w:rPr>
          <w:rFonts w:ascii="Palatino Linotype" w:hAnsi="Palatino Linotype"/>
          <w:sz w:val="22"/>
          <w:szCs w:val="22"/>
        </w:rPr>
        <w:t xml:space="preserve">Hadi </w:t>
      </w:r>
      <w:r w:rsidR="00A70C90" w:rsidRPr="00BF68DE">
        <w:rPr>
          <w:rFonts w:ascii="Palatino Linotype" w:hAnsi="Palatino Linotype"/>
          <w:sz w:val="22"/>
          <w:szCs w:val="22"/>
        </w:rPr>
        <w:t>&amp;</w:t>
      </w:r>
      <w:r w:rsidRPr="00BF68DE">
        <w:rPr>
          <w:rFonts w:ascii="Palatino Linotype" w:hAnsi="Palatino Linotype"/>
          <w:sz w:val="22"/>
          <w:szCs w:val="22"/>
        </w:rPr>
        <w:t xml:space="preserve"> Brotopuspito (2015),</w:t>
      </w:r>
      <w:r>
        <w:rPr>
          <w:rFonts w:ascii="Palatino Linotype" w:hAnsi="Palatino Linotype"/>
          <w:sz w:val="22"/>
          <w:szCs w:val="22"/>
        </w:rPr>
        <w:t xml:space="preserve"> sehingga diperoleh peta s</w:t>
      </w:r>
      <w:r w:rsidRPr="00194984">
        <w:rPr>
          <w:rFonts w:ascii="Palatino Linotype" w:hAnsi="Palatino Linotype"/>
          <w:sz w:val="22"/>
          <w:szCs w:val="22"/>
        </w:rPr>
        <w:t xml:space="preserve">ebaran nilai GSS di lokasi </w:t>
      </w:r>
      <w:r>
        <w:rPr>
          <w:rFonts w:ascii="Palatino Linotype" w:hAnsi="Palatino Linotype"/>
          <w:sz w:val="22"/>
          <w:szCs w:val="22"/>
        </w:rPr>
        <w:t>studi</w:t>
      </w:r>
      <w:r w:rsidRPr="00194984">
        <w:rPr>
          <w:rFonts w:ascii="Palatino Linotype" w:hAnsi="Palatino Linotype"/>
          <w:sz w:val="22"/>
          <w:szCs w:val="22"/>
        </w:rPr>
        <w:t xml:space="preserve"> </w:t>
      </w:r>
      <w:r>
        <w:rPr>
          <w:rFonts w:ascii="Palatino Linotype" w:hAnsi="Palatino Linotype"/>
          <w:sz w:val="22"/>
          <w:szCs w:val="22"/>
        </w:rPr>
        <w:t xml:space="preserve">seperti ditampilkan pada Gambar </w:t>
      </w:r>
      <w:r w:rsidRPr="00194984">
        <w:rPr>
          <w:rFonts w:ascii="Palatino Linotype" w:hAnsi="Palatino Linotype"/>
          <w:sz w:val="22"/>
          <w:szCs w:val="22"/>
        </w:rPr>
        <w:t>7.</w:t>
      </w:r>
    </w:p>
    <w:p w:rsidR="00BA703E" w:rsidRDefault="005D5D50" w:rsidP="00BA703E">
      <w:pPr>
        <w:pStyle w:val="Default"/>
        <w:spacing w:before="120"/>
        <w:jc w:val="both"/>
        <w:rPr>
          <w:rFonts w:ascii="Palatino Linotype" w:hAnsi="Palatino Linotype"/>
          <w:sz w:val="22"/>
          <w:szCs w:val="22"/>
        </w:rPr>
      </w:pPr>
      <w:r>
        <w:rPr>
          <w:noProof/>
        </w:rPr>
        <w:drawing>
          <wp:inline distT="0" distB="0" distL="0" distR="0" wp14:anchorId="394B9422" wp14:editId="237EC10F">
            <wp:extent cx="2877820" cy="1021141"/>
            <wp:effectExtent l="19050" t="19050" r="17780" b="266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Nilai f0 dan A0.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77820" cy="1021141"/>
                    </a:xfrm>
                    <a:prstGeom prst="rect">
                      <a:avLst/>
                    </a:prstGeom>
                    <a:ln>
                      <a:solidFill>
                        <a:schemeClr val="tx1"/>
                      </a:solidFill>
                    </a:ln>
                  </pic:spPr>
                </pic:pic>
              </a:graphicData>
            </a:graphic>
          </wp:inline>
        </w:drawing>
      </w:r>
    </w:p>
    <w:p w:rsidR="005D5D50" w:rsidRPr="005D5D50" w:rsidRDefault="005D5D50" w:rsidP="005D5D50">
      <w:pPr>
        <w:pStyle w:val="Default"/>
        <w:jc w:val="both"/>
        <w:rPr>
          <w:rFonts w:ascii="Palatino Linotype" w:eastAsia="Times New Roman" w:hAnsi="Palatino Linotype"/>
          <w:b/>
          <w:sz w:val="20"/>
          <w:szCs w:val="20"/>
        </w:rPr>
      </w:pPr>
      <w:r w:rsidRPr="005D5D50">
        <w:rPr>
          <w:rFonts w:ascii="Palatino Linotype" w:hAnsi="Palatino Linotype"/>
          <w:b/>
          <w:sz w:val="20"/>
          <w:szCs w:val="20"/>
        </w:rPr>
        <w:t>Gambar 6. Grafik frekuensi dominan (</w:t>
      </w:r>
      <w:proofErr w:type="gramStart"/>
      <w:r w:rsidRPr="005D5D50">
        <w:rPr>
          <w:rFonts w:ascii="Palatino Linotype" w:hAnsi="Palatino Linotype"/>
          <w:b/>
          <w:i/>
          <w:sz w:val="20"/>
          <w:szCs w:val="20"/>
        </w:rPr>
        <w:t>f</w:t>
      </w:r>
      <w:r w:rsidRPr="005D5D50">
        <w:rPr>
          <w:rFonts w:ascii="Palatino Linotype" w:hAnsi="Palatino Linotype"/>
          <w:b/>
          <w:i/>
          <w:sz w:val="20"/>
          <w:szCs w:val="20"/>
          <w:vertAlign w:val="subscript"/>
        </w:rPr>
        <w:t>g</w:t>
      </w:r>
      <w:proofErr w:type="gramEnd"/>
      <w:r w:rsidRPr="005D5D50">
        <w:rPr>
          <w:rFonts w:ascii="Palatino Linotype" w:hAnsi="Palatino Linotype"/>
          <w:b/>
          <w:sz w:val="20"/>
          <w:szCs w:val="20"/>
        </w:rPr>
        <w:t xml:space="preserve">) dan </w:t>
      </w:r>
      <w:r w:rsidRPr="005D5D50">
        <w:rPr>
          <w:rFonts w:ascii="Palatino Linotype" w:hAnsi="Palatino Linotype"/>
          <w:b/>
          <w:i/>
          <w:sz w:val="20"/>
          <w:szCs w:val="20"/>
        </w:rPr>
        <w:t>peak</w:t>
      </w:r>
      <w:r w:rsidRPr="005D5D50">
        <w:rPr>
          <w:rFonts w:ascii="Palatino Linotype" w:hAnsi="Palatino Linotype"/>
          <w:b/>
          <w:sz w:val="20"/>
          <w:szCs w:val="20"/>
        </w:rPr>
        <w:t xml:space="preserve"> HVSR atau faktor amplifikasi (</w:t>
      </w:r>
      <w:r w:rsidRPr="005D5D50">
        <w:rPr>
          <w:rFonts w:ascii="Palatino Linotype" w:hAnsi="Palatino Linotype"/>
          <w:b/>
          <w:i/>
          <w:sz w:val="20"/>
          <w:szCs w:val="20"/>
        </w:rPr>
        <w:t>A</w:t>
      </w:r>
      <w:r w:rsidRPr="005D5D50">
        <w:rPr>
          <w:rFonts w:ascii="Palatino Linotype" w:hAnsi="Palatino Linotype"/>
          <w:b/>
          <w:i/>
          <w:sz w:val="20"/>
          <w:szCs w:val="20"/>
          <w:vertAlign w:val="subscript"/>
        </w:rPr>
        <w:t>g</w:t>
      </w:r>
      <w:r w:rsidRPr="005D5D50">
        <w:rPr>
          <w:rFonts w:ascii="Palatino Linotype" w:hAnsi="Palatino Linotype"/>
          <w:b/>
          <w:sz w:val="20"/>
          <w:szCs w:val="20"/>
        </w:rPr>
        <w:t xml:space="preserve">) pada titik pengukuran a5. Sumbu </w:t>
      </w:r>
      <w:r w:rsidRPr="005D5D50">
        <w:rPr>
          <w:rFonts w:ascii="Palatino Linotype" w:hAnsi="Palatino Linotype"/>
          <w:b/>
          <w:i/>
          <w:sz w:val="20"/>
          <w:szCs w:val="20"/>
        </w:rPr>
        <w:t>x</w:t>
      </w:r>
      <w:r w:rsidRPr="005D5D50">
        <w:rPr>
          <w:rFonts w:ascii="Palatino Linotype" w:hAnsi="Palatino Linotype"/>
          <w:b/>
          <w:sz w:val="20"/>
          <w:szCs w:val="20"/>
        </w:rPr>
        <w:t xml:space="preserve"> adalah ftrekuensi (Hz) dan sumbu </w:t>
      </w:r>
      <w:r w:rsidRPr="005D5D50">
        <w:rPr>
          <w:rFonts w:ascii="Palatino Linotype" w:hAnsi="Palatino Linotype"/>
          <w:b/>
          <w:i/>
          <w:sz w:val="20"/>
          <w:szCs w:val="20"/>
        </w:rPr>
        <w:t xml:space="preserve">y </w:t>
      </w:r>
      <w:r w:rsidRPr="005D5D50">
        <w:rPr>
          <w:rFonts w:ascii="Palatino Linotype" w:hAnsi="Palatino Linotype"/>
          <w:b/>
          <w:sz w:val="20"/>
          <w:szCs w:val="20"/>
        </w:rPr>
        <w:t xml:space="preserve">adalah faktor amplifikasinya. Pada titik pengukuran a5 </w:t>
      </w:r>
      <w:r>
        <w:rPr>
          <w:rFonts w:ascii="Palatino Linotype" w:hAnsi="Palatino Linotype"/>
          <w:b/>
          <w:sz w:val="20"/>
          <w:szCs w:val="20"/>
        </w:rPr>
        <w:t xml:space="preserve">ini </w:t>
      </w:r>
      <w:r w:rsidRPr="005D5D50">
        <w:rPr>
          <w:rFonts w:ascii="Palatino Linotype" w:hAnsi="Palatino Linotype"/>
          <w:b/>
          <w:sz w:val="20"/>
          <w:szCs w:val="20"/>
        </w:rPr>
        <w:t xml:space="preserve">diperoleh nilai </w:t>
      </w:r>
      <w:r w:rsidRPr="005D5D50">
        <w:rPr>
          <w:rFonts w:ascii="Palatino Linotype" w:hAnsi="Palatino Linotype"/>
          <w:b/>
          <w:i/>
          <w:sz w:val="20"/>
          <w:szCs w:val="20"/>
        </w:rPr>
        <w:t>f</w:t>
      </w:r>
      <w:r w:rsidRPr="005D5D50">
        <w:rPr>
          <w:rFonts w:ascii="Palatino Linotype" w:hAnsi="Palatino Linotype"/>
          <w:b/>
          <w:i/>
          <w:sz w:val="20"/>
          <w:szCs w:val="20"/>
          <w:vertAlign w:val="subscript"/>
        </w:rPr>
        <w:t>g</w:t>
      </w:r>
      <w:r w:rsidRPr="005D5D50">
        <w:rPr>
          <w:rFonts w:ascii="Palatino Linotype" w:hAnsi="Palatino Linotype"/>
          <w:b/>
          <w:sz w:val="20"/>
          <w:szCs w:val="20"/>
          <w:vertAlign w:val="subscript"/>
        </w:rPr>
        <w:t xml:space="preserve"> </w:t>
      </w:r>
      <w:r w:rsidRPr="005D5D50">
        <w:rPr>
          <w:rFonts w:ascii="Palatino Linotype" w:hAnsi="Palatino Linotype"/>
          <w:b/>
          <w:sz w:val="20"/>
          <w:szCs w:val="20"/>
        </w:rPr>
        <w:t xml:space="preserve">= </w:t>
      </w:r>
      <w:r w:rsidRPr="005D5D50">
        <w:rPr>
          <w:rFonts w:ascii="Palatino Linotype" w:eastAsia="Times New Roman" w:hAnsi="Palatino Linotype"/>
          <w:b/>
          <w:sz w:val="20"/>
          <w:szCs w:val="20"/>
        </w:rPr>
        <w:t>6</w:t>
      </w:r>
      <w:proofErr w:type="gramStart"/>
      <w:r w:rsidRPr="005D5D50">
        <w:rPr>
          <w:rFonts w:ascii="Palatino Linotype" w:eastAsia="Times New Roman" w:hAnsi="Palatino Linotype"/>
          <w:b/>
          <w:sz w:val="20"/>
          <w:szCs w:val="20"/>
        </w:rPr>
        <w:t>,0</w:t>
      </w:r>
      <w:proofErr w:type="gramEnd"/>
      <w:r w:rsidRPr="005D5D50">
        <w:rPr>
          <w:rFonts w:ascii="Palatino Linotype" w:eastAsia="Times New Roman" w:hAnsi="Palatino Linotype"/>
          <w:b/>
          <w:sz w:val="20"/>
          <w:szCs w:val="20"/>
        </w:rPr>
        <w:t xml:space="preserve"> Hz (±1,5) dan </w:t>
      </w:r>
      <w:r w:rsidRPr="005D5D50">
        <w:rPr>
          <w:rFonts w:ascii="Palatino Linotype" w:eastAsia="Times New Roman" w:hAnsi="Palatino Linotype"/>
          <w:b/>
          <w:i/>
          <w:sz w:val="20"/>
          <w:szCs w:val="20"/>
        </w:rPr>
        <w:t>A</w:t>
      </w:r>
      <w:r w:rsidRPr="005D5D50">
        <w:rPr>
          <w:rFonts w:ascii="Palatino Linotype" w:eastAsia="Times New Roman" w:hAnsi="Palatino Linotype"/>
          <w:b/>
          <w:i/>
          <w:sz w:val="20"/>
          <w:szCs w:val="20"/>
          <w:vertAlign w:val="subscript"/>
        </w:rPr>
        <w:t>g</w:t>
      </w:r>
      <w:r w:rsidRPr="005D5D50">
        <w:rPr>
          <w:rFonts w:ascii="Palatino Linotype" w:eastAsia="Times New Roman" w:hAnsi="Palatino Linotype"/>
          <w:b/>
          <w:sz w:val="20"/>
          <w:szCs w:val="20"/>
        </w:rPr>
        <w:t xml:space="preserve"> = 6,1 (±1,2). </w:t>
      </w:r>
    </w:p>
    <w:p w:rsidR="00141E12" w:rsidRDefault="00755A56" w:rsidP="002349A6">
      <w:pPr>
        <w:tabs>
          <w:tab w:val="left" w:pos="567"/>
        </w:tabs>
        <w:spacing w:before="120"/>
        <w:jc w:val="both"/>
        <w:rPr>
          <w:rFonts w:ascii="Palatino Linotype" w:hAnsi="Palatino Linotype"/>
          <w:b/>
          <w:sz w:val="22"/>
          <w:szCs w:val="22"/>
        </w:rPr>
      </w:pPr>
      <w:r>
        <w:rPr>
          <w:noProof/>
          <w:lang w:val="en-US"/>
        </w:rPr>
        <w:drawing>
          <wp:inline distT="0" distB="0" distL="0" distR="0" wp14:anchorId="0C409F95" wp14:editId="2636BCBF">
            <wp:extent cx="2877820" cy="2026683"/>
            <wp:effectExtent l="19050" t="19050" r="17780" b="1206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 PETA GSS KOTA BENGKULU.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77820" cy="2026683"/>
                    </a:xfrm>
                    <a:prstGeom prst="rect">
                      <a:avLst/>
                    </a:prstGeom>
                    <a:ln>
                      <a:solidFill>
                        <a:schemeClr val="tx1"/>
                      </a:solidFill>
                    </a:ln>
                  </pic:spPr>
                </pic:pic>
              </a:graphicData>
            </a:graphic>
          </wp:inline>
        </w:drawing>
      </w:r>
    </w:p>
    <w:p w:rsidR="00755A56" w:rsidRPr="00755A56" w:rsidRDefault="00755A56" w:rsidP="00755A56">
      <w:pPr>
        <w:pStyle w:val="Default"/>
        <w:jc w:val="both"/>
        <w:rPr>
          <w:rFonts w:ascii="Palatino Linotype" w:hAnsi="Palatino Linotype"/>
          <w:b/>
          <w:sz w:val="20"/>
          <w:szCs w:val="20"/>
        </w:rPr>
      </w:pPr>
      <w:r>
        <w:rPr>
          <w:rFonts w:ascii="Palatino Linotype" w:hAnsi="Palatino Linotype"/>
          <w:b/>
          <w:sz w:val="20"/>
          <w:szCs w:val="20"/>
        </w:rPr>
        <w:t xml:space="preserve">Gambar </w:t>
      </w:r>
      <w:r w:rsidRPr="00755A56">
        <w:rPr>
          <w:rFonts w:ascii="Palatino Linotype" w:hAnsi="Palatino Linotype"/>
          <w:b/>
          <w:sz w:val="20"/>
          <w:szCs w:val="20"/>
        </w:rPr>
        <w:t>7. Peta sebaran GSS di Kota Bengkulu, Provinsi Bengkulu.</w:t>
      </w:r>
    </w:p>
    <w:p w:rsidR="00AA0DDB" w:rsidRDefault="00AA0DDB" w:rsidP="002349A6">
      <w:pPr>
        <w:pStyle w:val="Default"/>
        <w:spacing w:before="120"/>
        <w:ind w:firstLine="446"/>
        <w:jc w:val="both"/>
        <w:rPr>
          <w:rStyle w:val="reference-text"/>
          <w:rFonts w:ascii="Palatino Linotype" w:hAnsi="Palatino Linotype"/>
          <w:sz w:val="22"/>
          <w:szCs w:val="22"/>
        </w:rPr>
      </w:pPr>
      <w:r w:rsidRPr="00AA0DDB">
        <w:rPr>
          <w:rFonts w:ascii="Palatino Linotype" w:hAnsi="Palatino Linotype"/>
          <w:sz w:val="22"/>
          <w:szCs w:val="22"/>
        </w:rPr>
        <w:t xml:space="preserve">Nilai GSS yang diperoleh berada antara </w:t>
      </w:r>
      <w:r w:rsidRPr="00AA0DDB">
        <w:rPr>
          <w:rFonts w:ascii="Palatino Linotype" w:eastAsia="Times New Roman" w:hAnsi="Palatino Linotype"/>
          <w:sz w:val="22"/>
          <w:szCs w:val="22"/>
        </w:rPr>
        <w:t>2</w:t>
      </w:r>
      <w:proofErr w:type="gramStart"/>
      <w:r w:rsidRPr="00AA0DDB">
        <w:rPr>
          <w:rFonts w:ascii="Palatino Linotype" w:eastAsia="Times New Roman" w:hAnsi="Palatino Linotype"/>
          <w:sz w:val="22"/>
          <w:szCs w:val="22"/>
        </w:rPr>
        <w:t>,61</w:t>
      </w:r>
      <w:proofErr w:type="gramEnd"/>
      <w:r w:rsidRPr="00AA0DDB">
        <w:rPr>
          <w:rFonts w:ascii="Palatino Linotype" w:eastAsia="Times New Roman" w:hAnsi="Palatino Linotype"/>
          <w:sz w:val="22"/>
          <w:szCs w:val="22"/>
        </w:rPr>
        <w:t>×10</w:t>
      </w:r>
      <w:r w:rsidRPr="00AA0DDB">
        <w:rPr>
          <w:rFonts w:ascii="Palatino Linotype" w:eastAsia="Times New Roman" w:hAnsi="Palatino Linotype"/>
          <w:sz w:val="22"/>
          <w:szCs w:val="22"/>
          <w:vertAlign w:val="superscript"/>
        </w:rPr>
        <w:t xml:space="preserve">-5 </w:t>
      </w:r>
      <w:r w:rsidRPr="00AA0DDB">
        <w:rPr>
          <w:rStyle w:val="reference-text"/>
          <w:rFonts w:ascii="Palatino Linotype" w:hAnsi="Palatino Linotype"/>
          <w:sz w:val="22"/>
          <w:szCs w:val="22"/>
        </w:rPr>
        <w:t xml:space="preserve">– </w:t>
      </w:r>
      <w:r w:rsidRPr="00AA0DDB">
        <w:rPr>
          <w:rFonts w:ascii="Palatino Linotype" w:eastAsia="Times New Roman" w:hAnsi="Palatino Linotype"/>
          <w:sz w:val="22"/>
          <w:szCs w:val="22"/>
        </w:rPr>
        <w:t>1,37×10</w:t>
      </w:r>
      <w:r w:rsidRPr="00AA0DDB">
        <w:rPr>
          <w:rFonts w:ascii="Palatino Linotype" w:eastAsia="Times New Roman" w:hAnsi="Palatino Linotype"/>
          <w:sz w:val="22"/>
          <w:szCs w:val="22"/>
          <w:vertAlign w:val="superscript"/>
        </w:rPr>
        <w:t>-2</w:t>
      </w:r>
      <w:r w:rsidRPr="00AA0DDB">
        <w:rPr>
          <w:rFonts w:ascii="Palatino Linotype" w:eastAsia="Times New Roman" w:hAnsi="Palatino Linotype"/>
          <w:sz w:val="22"/>
          <w:szCs w:val="22"/>
        </w:rPr>
        <w:t xml:space="preserve">. Klasifikasi pembobotan berdasarkan </w:t>
      </w:r>
      <w:r w:rsidRPr="002D0DB9">
        <w:rPr>
          <w:rFonts w:ascii="Palatino Linotype" w:eastAsia="Times New Roman" w:hAnsi="Palatino Linotype"/>
          <w:sz w:val="22"/>
          <w:szCs w:val="22"/>
        </w:rPr>
        <w:t xml:space="preserve">kriteria </w:t>
      </w:r>
      <w:r w:rsidRPr="00BF68DE">
        <w:rPr>
          <w:rFonts w:ascii="Palatino Linotype" w:eastAsia="Times New Roman" w:hAnsi="Palatino Linotype"/>
          <w:sz w:val="22"/>
          <w:szCs w:val="22"/>
        </w:rPr>
        <w:t xml:space="preserve">dari </w:t>
      </w:r>
      <w:r w:rsidRPr="00BF68DE">
        <w:rPr>
          <w:rStyle w:val="reference-text"/>
          <w:rFonts w:ascii="Palatino Linotype" w:hAnsi="Palatino Linotype"/>
          <w:sz w:val="22"/>
          <w:szCs w:val="22"/>
        </w:rPr>
        <w:t>Ishihara (1996) dan Oliveira</w:t>
      </w:r>
      <w:r w:rsidR="002D0DB9" w:rsidRPr="00BF68DE">
        <w:rPr>
          <w:rStyle w:val="reference-text"/>
          <w:rFonts w:ascii="Palatino Linotype" w:hAnsi="Palatino Linotype"/>
          <w:sz w:val="22"/>
          <w:szCs w:val="22"/>
        </w:rPr>
        <w:t xml:space="preserve">, </w:t>
      </w:r>
      <w:r w:rsidR="002D0DB9" w:rsidRPr="00BF68DE">
        <w:rPr>
          <w:rFonts w:ascii="Palatino Linotype" w:hAnsi="Palatino Linotype"/>
          <w:color w:val="auto"/>
          <w:sz w:val="22"/>
          <w:szCs w:val="22"/>
        </w:rPr>
        <w:t xml:space="preserve">Roca, </w:t>
      </w:r>
      <w:r w:rsidR="002D0DB9" w:rsidRPr="00BF68DE">
        <w:rPr>
          <w:rFonts w:ascii="Palatino Linotype" w:hAnsi="Palatino Linotype"/>
          <w:color w:val="auto"/>
          <w:sz w:val="22"/>
          <w:szCs w:val="22"/>
        </w:rPr>
        <w:t xml:space="preserve">&amp; Goula </w:t>
      </w:r>
      <w:r w:rsidRPr="00BF68DE">
        <w:rPr>
          <w:rStyle w:val="reference-text"/>
          <w:rFonts w:ascii="Palatino Linotype" w:hAnsi="Palatino Linotype"/>
          <w:sz w:val="22"/>
          <w:szCs w:val="22"/>
        </w:rPr>
        <w:t>(2008). Orde 10</w:t>
      </w:r>
      <w:r w:rsidRPr="00BF68DE">
        <w:rPr>
          <w:rStyle w:val="reference-text"/>
          <w:rFonts w:ascii="Palatino Linotype" w:hAnsi="Palatino Linotype"/>
          <w:sz w:val="22"/>
          <w:szCs w:val="22"/>
          <w:vertAlign w:val="superscript"/>
        </w:rPr>
        <w:t>-6</w:t>
      </w:r>
      <w:r w:rsidRPr="00BF68DE">
        <w:rPr>
          <w:rStyle w:val="reference-text"/>
          <w:rFonts w:ascii="Palatino Linotype" w:hAnsi="Palatino Linotype"/>
          <w:sz w:val="22"/>
          <w:szCs w:val="22"/>
        </w:rPr>
        <w:t xml:space="preserve"> – 10</w:t>
      </w:r>
      <w:r w:rsidRPr="00BF68DE">
        <w:rPr>
          <w:rStyle w:val="reference-text"/>
          <w:rFonts w:ascii="Palatino Linotype" w:hAnsi="Palatino Linotype"/>
          <w:sz w:val="22"/>
          <w:szCs w:val="22"/>
          <w:vertAlign w:val="superscript"/>
        </w:rPr>
        <w:t>-5</w:t>
      </w:r>
      <w:r w:rsidRPr="00BF68DE">
        <w:rPr>
          <w:rStyle w:val="reference-text"/>
          <w:rFonts w:ascii="Palatino Linotype" w:hAnsi="Palatino Linotype"/>
          <w:sz w:val="22"/>
          <w:szCs w:val="22"/>
        </w:rPr>
        <w:t xml:space="preserve"> memiliki nilai regangan elastis, orde</w:t>
      </w:r>
      <w:r w:rsidRPr="00AA0DDB">
        <w:rPr>
          <w:rStyle w:val="reference-text"/>
          <w:rFonts w:ascii="Palatino Linotype" w:hAnsi="Palatino Linotype"/>
          <w:sz w:val="22"/>
          <w:szCs w:val="22"/>
        </w:rPr>
        <w:t xml:space="preserve"> 10</w:t>
      </w:r>
      <w:r w:rsidRPr="00AA0DDB">
        <w:rPr>
          <w:rStyle w:val="reference-text"/>
          <w:rFonts w:ascii="Palatino Linotype" w:hAnsi="Palatino Linotype"/>
          <w:sz w:val="22"/>
          <w:szCs w:val="22"/>
          <w:vertAlign w:val="superscript"/>
        </w:rPr>
        <w:t>-4</w:t>
      </w:r>
      <w:r w:rsidRPr="00AA0DDB">
        <w:rPr>
          <w:rStyle w:val="reference-text"/>
          <w:rFonts w:ascii="Palatino Linotype" w:hAnsi="Palatino Linotype"/>
          <w:sz w:val="22"/>
          <w:szCs w:val="22"/>
        </w:rPr>
        <w:t xml:space="preserve"> – 10</w:t>
      </w:r>
      <w:r w:rsidRPr="00AA0DDB">
        <w:rPr>
          <w:rStyle w:val="reference-text"/>
          <w:rFonts w:ascii="Palatino Linotype" w:hAnsi="Palatino Linotype"/>
          <w:sz w:val="22"/>
          <w:szCs w:val="22"/>
          <w:vertAlign w:val="superscript"/>
        </w:rPr>
        <w:t>-3</w:t>
      </w:r>
      <w:r w:rsidRPr="00AA0DDB">
        <w:rPr>
          <w:rStyle w:val="reference-text"/>
          <w:rFonts w:ascii="Palatino Linotype" w:hAnsi="Palatino Linotype"/>
          <w:sz w:val="22"/>
          <w:szCs w:val="22"/>
        </w:rPr>
        <w:t xml:space="preserve"> memiliki nilai regangan elastis-plastis, dan orde ≥ 10</w:t>
      </w:r>
      <w:r w:rsidRPr="00AA0DDB">
        <w:rPr>
          <w:rStyle w:val="reference-text"/>
          <w:rFonts w:ascii="Palatino Linotype" w:hAnsi="Palatino Linotype"/>
          <w:sz w:val="22"/>
          <w:szCs w:val="22"/>
          <w:vertAlign w:val="superscript"/>
        </w:rPr>
        <w:t>-2</w:t>
      </w:r>
      <w:r w:rsidRPr="00AA0DDB">
        <w:rPr>
          <w:rStyle w:val="reference-text"/>
          <w:rFonts w:ascii="Palatino Linotype" w:hAnsi="Palatino Linotype"/>
          <w:sz w:val="22"/>
          <w:szCs w:val="22"/>
        </w:rPr>
        <w:t xml:space="preserve"> memiliki nilai regangan bersifat </w:t>
      </w:r>
      <w:r w:rsidRPr="00AA0DDB">
        <w:rPr>
          <w:rStyle w:val="reference-text"/>
          <w:rFonts w:ascii="Palatino Linotype" w:hAnsi="Palatino Linotype"/>
          <w:i/>
          <w:sz w:val="22"/>
          <w:szCs w:val="22"/>
        </w:rPr>
        <w:t>collapse</w:t>
      </w:r>
      <w:r w:rsidRPr="00AA0DDB">
        <w:rPr>
          <w:rStyle w:val="reference-text"/>
          <w:rFonts w:ascii="Palatino Linotype" w:hAnsi="Palatino Linotype"/>
          <w:sz w:val="22"/>
          <w:szCs w:val="22"/>
        </w:rPr>
        <w:t xml:space="preserve">. Semakin tinggi nilai GSS maka batuan </w:t>
      </w:r>
      <w:proofErr w:type="gramStart"/>
      <w:r w:rsidRPr="00AA0DDB">
        <w:rPr>
          <w:rStyle w:val="reference-text"/>
          <w:rFonts w:ascii="Palatino Linotype" w:hAnsi="Palatino Linotype"/>
          <w:sz w:val="22"/>
          <w:szCs w:val="22"/>
        </w:rPr>
        <w:t>akan</w:t>
      </w:r>
      <w:proofErr w:type="gramEnd"/>
      <w:r w:rsidRPr="00AA0DDB">
        <w:rPr>
          <w:rStyle w:val="reference-text"/>
          <w:rFonts w:ascii="Palatino Linotype" w:hAnsi="Palatino Linotype"/>
          <w:sz w:val="22"/>
          <w:szCs w:val="22"/>
        </w:rPr>
        <w:t xml:space="preserve"> semakin mudah terdeformasi. </w:t>
      </w:r>
    </w:p>
    <w:p w:rsidR="00AA0DDB" w:rsidRDefault="00AA0DDB" w:rsidP="00AA0DDB">
      <w:pPr>
        <w:pStyle w:val="Default"/>
        <w:ind w:firstLine="446"/>
        <w:jc w:val="both"/>
      </w:pPr>
      <w:r w:rsidRPr="00AA0DDB">
        <w:rPr>
          <w:rFonts w:ascii="Palatino Linotype" w:hAnsi="Palatino Linotype"/>
          <w:sz w:val="22"/>
          <w:szCs w:val="22"/>
        </w:rPr>
        <w:t>Nilai frekuensi dominan dan faktor amplifikasi pada setiap titik pengukuran juga dapat digunakan untuk mendapatkan nilai ketebalan lapisan sedimen melal</w:t>
      </w:r>
      <w:r>
        <w:rPr>
          <w:rFonts w:ascii="Palatino Linotype" w:hAnsi="Palatino Linotype"/>
          <w:sz w:val="22"/>
          <w:szCs w:val="22"/>
        </w:rPr>
        <w:t>ui hubungan Persamaan (3) dan (4</w:t>
      </w:r>
      <w:r w:rsidRPr="00AA0DDB">
        <w:rPr>
          <w:rFonts w:ascii="Palatino Linotype" w:hAnsi="Palatino Linotype"/>
          <w:sz w:val="22"/>
          <w:szCs w:val="22"/>
        </w:rPr>
        <w:t>). Peta sebaran lapisan sedimen berdasarkan perhitungan</w:t>
      </w:r>
      <w:r>
        <w:rPr>
          <w:rFonts w:ascii="Palatino Linotype" w:hAnsi="Palatino Linotype"/>
          <w:sz w:val="22"/>
          <w:szCs w:val="22"/>
        </w:rPr>
        <w:t xml:space="preserve"> ini dapat dilihat pada Gambar </w:t>
      </w:r>
      <w:r w:rsidRPr="00AA0DDB">
        <w:rPr>
          <w:rFonts w:ascii="Palatino Linotype" w:hAnsi="Palatino Linotype"/>
          <w:sz w:val="22"/>
          <w:szCs w:val="22"/>
        </w:rPr>
        <w:t>8</w:t>
      </w:r>
      <w:r>
        <w:t xml:space="preserve">. </w:t>
      </w:r>
    </w:p>
    <w:p w:rsidR="007F6A91" w:rsidRPr="007F6A91" w:rsidRDefault="007F6A91" w:rsidP="007F6A91">
      <w:pPr>
        <w:pStyle w:val="Default"/>
        <w:ind w:firstLine="450"/>
        <w:jc w:val="both"/>
        <w:rPr>
          <w:rFonts w:ascii="Palatino Linotype" w:hAnsi="Palatino Linotype"/>
          <w:sz w:val="22"/>
          <w:szCs w:val="22"/>
        </w:rPr>
      </w:pPr>
      <w:r w:rsidRPr="007F6A91">
        <w:rPr>
          <w:rFonts w:ascii="Palatino Linotype" w:hAnsi="Palatino Linotype"/>
          <w:sz w:val="22"/>
          <w:szCs w:val="22"/>
        </w:rPr>
        <w:t>Klasifikasi pembobotan didasarkan kepada ketebalan lapisan</w:t>
      </w:r>
      <w:r>
        <w:rPr>
          <w:rFonts w:ascii="Palatino Linotype" w:hAnsi="Palatino Linotype"/>
          <w:sz w:val="22"/>
          <w:szCs w:val="22"/>
        </w:rPr>
        <w:t xml:space="preserve"> sedimen sampai </w:t>
      </w:r>
      <w:r>
        <w:rPr>
          <w:rFonts w:ascii="Palatino Linotype" w:hAnsi="Palatino Linotype"/>
          <w:sz w:val="22"/>
          <w:szCs w:val="22"/>
        </w:rPr>
        <w:t>kedalaman 30 m karena p</w:t>
      </w:r>
      <w:r w:rsidRPr="007F6A91">
        <w:rPr>
          <w:rFonts w:ascii="Palatino Linotype" w:hAnsi="Palatino Linotype"/>
          <w:sz w:val="22"/>
          <w:szCs w:val="22"/>
        </w:rPr>
        <w:t xml:space="preserve">embesaran gelombang gempa </w:t>
      </w:r>
      <w:r>
        <w:rPr>
          <w:rFonts w:ascii="Palatino Linotype" w:hAnsi="Palatino Linotype"/>
          <w:sz w:val="22"/>
          <w:szCs w:val="22"/>
        </w:rPr>
        <w:t xml:space="preserve">hanya </w:t>
      </w:r>
      <w:r w:rsidRPr="007F6A91">
        <w:rPr>
          <w:rFonts w:ascii="Palatino Linotype" w:hAnsi="Palatino Linotype"/>
          <w:sz w:val="22"/>
          <w:szCs w:val="22"/>
        </w:rPr>
        <w:t xml:space="preserve">berpengaruh sampai pada lapisan batuan hingga kedalaman 30 m </w:t>
      </w:r>
      <w:r w:rsidRPr="002E2AFB">
        <w:rPr>
          <w:rFonts w:ascii="Palatino Linotype" w:hAnsi="Palatino Linotype"/>
          <w:sz w:val="22"/>
          <w:szCs w:val="22"/>
        </w:rPr>
        <w:t>(Wangsadinata, 2006). Untuk</w:t>
      </w:r>
      <w:r w:rsidRPr="007F6A91">
        <w:rPr>
          <w:rFonts w:ascii="Palatino Linotype" w:hAnsi="Palatino Linotype"/>
          <w:sz w:val="22"/>
          <w:szCs w:val="22"/>
        </w:rPr>
        <w:t xml:space="preserve"> itu pada studi ini, lapisan dengan ketebalan sedimen &lt; 10 m dikategorikan berisiko rendah, ketebalan sedimen antara 10 m – 20 m berisiko sedang, dan ketebalan sedimen ≥ 20 m </w:t>
      </w:r>
      <w:r>
        <w:rPr>
          <w:rFonts w:ascii="Palatino Linotype" w:hAnsi="Palatino Linotype"/>
          <w:sz w:val="22"/>
          <w:szCs w:val="22"/>
        </w:rPr>
        <w:t xml:space="preserve">sampai 30 m </w:t>
      </w:r>
      <w:r w:rsidRPr="007F6A91">
        <w:rPr>
          <w:rFonts w:ascii="Palatino Linotype" w:hAnsi="Palatino Linotype"/>
          <w:sz w:val="22"/>
          <w:szCs w:val="22"/>
        </w:rPr>
        <w:t xml:space="preserve">berisiko besar. Secara umum semakin tebal lapisan sedimen maka semakin besar risiko terhadap ancaman gempa. Namun demikian dalam perencanaan bangunan tahan gempa bergantung kepada kualitas struktur yang digunakan. </w:t>
      </w:r>
    </w:p>
    <w:p w:rsidR="00141E12" w:rsidRDefault="000B01A3" w:rsidP="007F6A91">
      <w:pPr>
        <w:tabs>
          <w:tab w:val="left" w:pos="567"/>
        </w:tabs>
        <w:spacing w:before="120"/>
        <w:jc w:val="both"/>
        <w:rPr>
          <w:rFonts w:ascii="Palatino Linotype" w:hAnsi="Palatino Linotype"/>
          <w:b/>
          <w:sz w:val="22"/>
          <w:szCs w:val="22"/>
        </w:rPr>
      </w:pPr>
      <w:r>
        <w:rPr>
          <w:noProof/>
          <w:lang w:val="en-US"/>
        </w:rPr>
        <w:drawing>
          <wp:inline distT="0" distB="0" distL="0" distR="0" wp14:anchorId="57757915" wp14:editId="50B3045A">
            <wp:extent cx="2877820" cy="2026683"/>
            <wp:effectExtent l="19050" t="19050" r="17780" b="1206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 PETA LAPISAN SEDIMEN KOTA BENGKULU.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77820" cy="2026683"/>
                    </a:xfrm>
                    <a:prstGeom prst="rect">
                      <a:avLst/>
                    </a:prstGeom>
                    <a:ln>
                      <a:solidFill>
                        <a:schemeClr val="tx1"/>
                      </a:solidFill>
                    </a:ln>
                  </pic:spPr>
                </pic:pic>
              </a:graphicData>
            </a:graphic>
          </wp:inline>
        </w:drawing>
      </w:r>
    </w:p>
    <w:p w:rsidR="000B01A3" w:rsidRPr="000B01A3" w:rsidRDefault="000B01A3" w:rsidP="000B01A3">
      <w:pPr>
        <w:pStyle w:val="Default"/>
        <w:jc w:val="both"/>
        <w:rPr>
          <w:rFonts w:ascii="Palatino Linotype" w:hAnsi="Palatino Linotype"/>
          <w:b/>
          <w:sz w:val="20"/>
          <w:szCs w:val="20"/>
        </w:rPr>
      </w:pPr>
      <w:r>
        <w:rPr>
          <w:rFonts w:ascii="Palatino Linotype" w:hAnsi="Palatino Linotype"/>
          <w:b/>
          <w:sz w:val="20"/>
          <w:szCs w:val="20"/>
        </w:rPr>
        <w:t xml:space="preserve">Gambar </w:t>
      </w:r>
      <w:r w:rsidRPr="000B01A3">
        <w:rPr>
          <w:rFonts w:ascii="Palatino Linotype" w:hAnsi="Palatino Linotype"/>
          <w:b/>
          <w:sz w:val="20"/>
          <w:szCs w:val="20"/>
        </w:rPr>
        <w:t>8. Peta sebaran ketebalan lapisan sedimen di Kota Bengkulu, Provinsi Bengkulu.</w:t>
      </w:r>
    </w:p>
    <w:p w:rsidR="00325291" w:rsidRDefault="00325291" w:rsidP="00325291">
      <w:pPr>
        <w:pStyle w:val="Default"/>
        <w:spacing w:before="120"/>
        <w:ind w:firstLine="450"/>
        <w:jc w:val="both"/>
        <w:rPr>
          <w:rFonts w:ascii="Palatino Linotype" w:hAnsi="Palatino Linotype"/>
          <w:bCs/>
          <w:sz w:val="22"/>
          <w:szCs w:val="22"/>
        </w:rPr>
      </w:pPr>
      <w:r w:rsidRPr="00325291">
        <w:rPr>
          <w:rFonts w:ascii="Palatino Linotype" w:hAnsi="Palatino Linotype"/>
          <w:sz w:val="22"/>
          <w:szCs w:val="22"/>
        </w:rPr>
        <w:t xml:space="preserve">Setelah dilakukan pembobotan terhadap parameter-parameter fisis batuan </w:t>
      </w:r>
      <w:r w:rsidRPr="00325291">
        <w:rPr>
          <w:rFonts w:ascii="Palatino Linotype" w:hAnsi="Palatino Linotype"/>
          <w:bCs/>
          <w:sz w:val="22"/>
          <w:szCs w:val="22"/>
        </w:rPr>
        <w:t xml:space="preserve">berupa </w:t>
      </w:r>
      <w:r w:rsidRPr="00325291">
        <w:rPr>
          <w:rFonts w:ascii="Palatino Linotype" w:hAnsi="Palatino Linotype"/>
          <w:bCs/>
          <w:i/>
          <w:sz w:val="22"/>
          <w:szCs w:val="22"/>
        </w:rPr>
        <w:t>Vs</w:t>
      </w:r>
      <w:r w:rsidRPr="00325291">
        <w:rPr>
          <w:rFonts w:ascii="Palatino Linotype" w:hAnsi="Palatino Linotype"/>
          <w:bCs/>
          <w:sz w:val="22"/>
          <w:szCs w:val="22"/>
          <w:vertAlign w:val="subscript"/>
        </w:rPr>
        <w:t>30</w:t>
      </w:r>
      <w:r w:rsidRPr="00325291">
        <w:rPr>
          <w:rFonts w:ascii="Palatino Linotype" w:hAnsi="Palatino Linotype"/>
          <w:bCs/>
          <w:sz w:val="22"/>
          <w:szCs w:val="22"/>
        </w:rPr>
        <w:t xml:space="preserve">, </w:t>
      </w:r>
      <w:r>
        <w:rPr>
          <w:rFonts w:ascii="Palatino Linotype" w:hAnsi="Palatino Linotype"/>
          <w:bCs/>
          <w:sz w:val="22"/>
          <w:szCs w:val="22"/>
        </w:rPr>
        <w:t>jarak sesar ke titik pengukuran</w:t>
      </w:r>
      <w:r w:rsidRPr="00325291">
        <w:rPr>
          <w:rFonts w:ascii="Palatino Linotype" w:hAnsi="Palatino Linotype"/>
          <w:bCs/>
          <w:sz w:val="22"/>
          <w:szCs w:val="22"/>
        </w:rPr>
        <w:t xml:space="preserve">, kondisi batuan, PGA, </w:t>
      </w:r>
      <w:r w:rsidRPr="00325291">
        <w:rPr>
          <w:rFonts w:ascii="Palatino Linotype" w:hAnsi="Palatino Linotype"/>
          <w:sz w:val="22"/>
          <w:szCs w:val="22"/>
        </w:rPr>
        <w:t>MMI</w:t>
      </w:r>
      <w:r w:rsidRPr="00325291">
        <w:rPr>
          <w:rFonts w:ascii="Palatino Linotype" w:hAnsi="Palatino Linotype"/>
          <w:bCs/>
          <w:sz w:val="22"/>
          <w:szCs w:val="22"/>
        </w:rPr>
        <w:t>, GSS, dan ketebalan lapisan sedimen. Semua parameter-parameter fisis tersebut kemudian di-</w:t>
      </w:r>
      <w:r w:rsidRPr="00325291">
        <w:rPr>
          <w:rFonts w:ascii="Palatino Linotype" w:hAnsi="Palatino Linotype"/>
          <w:bCs/>
          <w:i/>
          <w:sz w:val="22"/>
          <w:szCs w:val="22"/>
        </w:rPr>
        <w:t>overla</w:t>
      </w:r>
      <w:r>
        <w:rPr>
          <w:rFonts w:ascii="Palatino Linotype" w:hAnsi="Palatino Linotype"/>
          <w:bCs/>
          <w:i/>
          <w:sz w:val="22"/>
          <w:szCs w:val="22"/>
        </w:rPr>
        <w:t>y</w:t>
      </w:r>
      <w:r w:rsidRPr="00325291">
        <w:rPr>
          <w:rFonts w:ascii="Palatino Linotype" w:hAnsi="Palatino Linotype"/>
          <w:bCs/>
          <w:sz w:val="22"/>
          <w:szCs w:val="22"/>
        </w:rPr>
        <w:t xml:space="preserve"> menggunakan metode statisti</w:t>
      </w:r>
      <w:r>
        <w:rPr>
          <w:rFonts w:ascii="Palatino Linotype" w:hAnsi="Palatino Linotype"/>
          <w:bCs/>
          <w:sz w:val="22"/>
          <w:szCs w:val="22"/>
        </w:rPr>
        <w:t>k</w:t>
      </w:r>
      <w:r w:rsidRPr="00325291">
        <w:rPr>
          <w:rFonts w:ascii="Palatino Linotype" w:hAnsi="Palatino Linotype"/>
          <w:bCs/>
          <w:sz w:val="22"/>
          <w:szCs w:val="22"/>
        </w:rPr>
        <w:t xml:space="preserve"> AHP, maka diperoleh peta sebaran potensi ancaman bahaya gempabumi di Kota Bengkulu sebag</w:t>
      </w:r>
      <w:r>
        <w:rPr>
          <w:rFonts w:ascii="Palatino Linotype" w:hAnsi="Palatino Linotype"/>
          <w:bCs/>
          <w:sz w:val="22"/>
          <w:szCs w:val="22"/>
        </w:rPr>
        <w:t xml:space="preserve">aimana ditunjukkan pada Gambar </w:t>
      </w:r>
      <w:r w:rsidRPr="00325291">
        <w:rPr>
          <w:rFonts w:ascii="Palatino Linotype" w:hAnsi="Palatino Linotype"/>
          <w:bCs/>
          <w:sz w:val="22"/>
          <w:szCs w:val="22"/>
        </w:rPr>
        <w:t>9.</w:t>
      </w:r>
    </w:p>
    <w:p w:rsidR="00E63699" w:rsidRPr="00AF318A" w:rsidRDefault="00E63699" w:rsidP="00E63699">
      <w:pPr>
        <w:pStyle w:val="Default"/>
        <w:ind w:firstLine="446"/>
        <w:jc w:val="both"/>
        <w:rPr>
          <w:rFonts w:ascii="Palatino Linotype" w:hAnsi="Palatino Linotype"/>
          <w:sz w:val="22"/>
          <w:szCs w:val="22"/>
        </w:rPr>
      </w:pPr>
      <w:r w:rsidRPr="00AF318A">
        <w:rPr>
          <w:rFonts w:ascii="Palatino Linotype" w:hAnsi="Palatino Linotype"/>
          <w:sz w:val="22"/>
          <w:szCs w:val="22"/>
        </w:rPr>
        <w:t>Berdasarkan peta potensi ancama</w:t>
      </w:r>
      <w:r>
        <w:rPr>
          <w:rFonts w:ascii="Palatino Linotype" w:hAnsi="Palatino Linotype"/>
          <w:sz w:val="22"/>
          <w:szCs w:val="22"/>
        </w:rPr>
        <w:t>n bahaya gempabumi</w:t>
      </w:r>
      <w:r w:rsidRPr="00AF318A">
        <w:rPr>
          <w:rFonts w:ascii="Palatino Linotype" w:hAnsi="Palatino Linotype"/>
          <w:sz w:val="22"/>
          <w:szCs w:val="22"/>
        </w:rPr>
        <w:t>, tingkat risiko ancaman gempabumi di Kota Bengkulu, Provinsi Bengkulu terbagi menjadi tiga kelas yaitu risiko rendah, risiko sedang, dan risiko tinggi. Kota Bengkulu didominasi oleh ancaman gempa berisiko sedang dan hanya sebagian kecil berisiko rendah yang lokasinya di sebelah timur pusat Kota Bengkulu, sedang</w:t>
      </w:r>
      <w:r>
        <w:rPr>
          <w:rFonts w:ascii="Palatino Linotype" w:hAnsi="Palatino Linotype"/>
          <w:sz w:val="22"/>
          <w:szCs w:val="22"/>
        </w:rPr>
        <w:t>k</w:t>
      </w:r>
      <w:r w:rsidRPr="00AF318A">
        <w:rPr>
          <w:rFonts w:ascii="Palatino Linotype" w:hAnsi="Palatino Linotype"/>
          <w:sz w:val="22"/>
          <w:szCs w:val="22"/>
        </w:rPr>
        <w:t xml:space="preserve">an </w:t>
      </w:r>
      <w:proofErr w:type="gramStart"/>
      <w:r w:rsidRPr="00AF318A">
        <w:rPr>
          <w:rFonts w:ascii="Palatino Linotype" w:hAnsi="Palatino Linotype"/>
          <w:sz w:val="22"/>
          <w:szCs w:val="22"/>
        </w:rPr>
        <w:t>ancaman</w:t>
      </w:r>
      <w:proofErr w:type="gramEnd"/>
      <w:r w:rsidRPr="00AF318A">
        <w:rPr>
          <w:rFonts w:ascii="Palatino Linotype" w:hAnsi="Palatino Linotype"/>
          <w:sz w:val="22"/>
          <w:szCs w:val="22"/>
        </w:rPr>
        <w:t xml:space="preserve"> berisiko tinggi terdapat di tengah </w:t>
      </w:r>
      <w:r w:rsidRPr="00AF318A">
        <w:rPr>
          <w:rFonts w:ascii="Palatino Linotype" w:hAnsi="Palatino Linotype"/>
          <w:sz w:val="22"/>
          <w:szCs w:val="22"/>
        </w:rPr>
        <w:lastRenderedPageBreak/>
        <w:t xml:space="preserve">lokasi studi dan di sebelah baratlaut dari pusat Kota Bengkulu. Pengaruh dominan terhadap besarnya ancaman gempabumi di lokasi studi diduga berasal dari keberadaan sesar yang diperkirakan dan besarnya nilai GSS. Besarnya nilai GSS di lokasi studi dipengaruhi oleh ketidaksolidan batuan yang mengakibatkan tingkat kerentanan tinggi terhadap ancaman gempabumi. </w:t>
      </w:r>
    </w:p>
    <w:p w:rsidR="00141E12" w:rsidRDefault="001E7EDB" w:rsidP="001E7EDB">
      <w:pPr>
        <w:tabs>
          <w:tab w:val="left" w:pos="567"/>
        </w:tabs>
        <w:spacing w:before="120"/>
        <w:jc w:val="both"/>
        <w:rPr>
          <w:rFonts w:ascii="Palatino Linotype" w:hAnsi="Palatino Linotype"/>
          <w:b/>
          <w:sz w:val="22"/>
          <w:szCs w:val="22"/>
        </w:rPr>
      </w:pPr>
      <w:r>
        <w:rPr>
          <w:noProof/>
          <w:lang w:val="en-US"/>
        </w:rPr>
        <w:drawing>
          <wp:inline distT="0" distB="0" distL="0" distR="0" wp14:anchorId="608ADBD2" wp14:editId="4A1FE553">
            <wp:extent cx="2877820" cy="2026683"/>
            <wp:effectExtent l="19050" t="19050" r="17780" b="1206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4. PETA HAZARD KOTA BENGKULU.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77820" cy="2026683"/>
                    </a:xfrm>
                    <a:prstGeom prst="rect">
                      <a:avLst/>
                    </a:prstGeom>
                    <a:ln>
                      <a:solidFill>
                        <a:schemeClr val="tx1"/>
                      </a:solidFill>
                    </a:ln>
                  </pic:spPr>
                </pic:pic>
              </a:graphicData>
            </a:graphic>
          </wp:inline>
        </w:drawing>
      </w:r>
    </w:p>
    <w:p w:rsidR="001E7EDB" w:rsidRPr="001E7EDB" w:rsidRDefault="001E7EDB" w:rsidP="001E7EDB">
      <w:pPr>
        <w:pStyle w:val="Default"/>
        <w:jc w:val="both"/>
        <w:rPr>
          <w:rFonts w:ascii="Palatino Linotype" w:hAnsi="Palatino Linotype"/>
          <w:b/>
          <w:sz w:val="20"/>
          <w:szCs w:val="20"/>
        </w:rPr>
      </w:pPr>
      <w:r w:rsidRPr="001E7EDB">
        <w:rPr>
          <w:rFonts w:ascii="Palatino Linotype" w:hAnsi="Palatino Linotype"/>
          <w:b/>
          <w:sz w:val="20"/>
          <w:szCs w:val="20"/>
        </w:rPr>
        <w:t>Gambar 9. Peta potensi ancaman bahaya gempabumi Kota Bengkulu</w:t>
      </w:r>
      <w:r>
        <w:rPr>
          <w:rFonts w:ascii="Palatino Linotype" w:hAnsi="Palatino Linotype"/>
          <w:b/>
          <w:sz w:val="20"/>
          <w:szCs w:val="20"/>
        </w:rPr>
        <w:t>, Provinsi Bengkulu</w:t>
      </w:r>
      <w:r w:rsidRPr="001E7EDB">
        <w:rPr>
          <w:rFonts w:ascii="Palatino Linotype" w:hAnsi="Palatino Linotype"/>
          <w:b/>
          <w:sz w:val="20"/>
          <w:szCs w:val="20"/>
        </w:rPr>
        <w:t xml:space="preserve"> berdasarkan parameter fisis batuan dan metode AHP.</w:t>
      </w:r>
    </w:p>
    <w:p w:rsidR="00141E12" w:rsidRDefault="00141E12" w:rsidP="000E6D39">
      <w:pPr>
        <w:tabs>
          <w:tab w:val="left" w:pos="567"/>
        </w:tabs>
        <w:jc w:val="both"/>
        <w:rPr>
          <w:rFonts w:ascii="Palatino Linotype" w:hAnsi="Palatino Linotype"/>
          <w:b/>
          <w:sz w:val="22"/>
          <w:szCs w:val="22"/>
        </w:rPr>
      </w:pPr>
    </w:p>
    <w:p w:rsidR="00A63860" w:rsidRPr="006E1819" w:rsidRDefault="00A63860" w:rsidP="00A63860">
      <w:pPr>
        <w:pStyle w:val="Heading1"/>
        <w:rPr>
          <w:lang w:val="en-US"/>
        </w:rPr>
      </w:pPr>
      <w:r w:rsidRPr="006E1819">
        <w:t>KESIMPULAN</w:t>
      </w:r>
      <w:r w:rsidRPr="006E1819">
        <w:rPr>
          <w:lang w:val="en-US"/>
        </w:rPr>
        <w:t xml:space="preserve"> </w:t>
      </w:r>
    </w:p>
    <w:p w:rsidR="002C44D5" w:rsidRPr="002C44D5" w:rsidRDefault="002C44D5" w:rsidP="002C44D5">
      <w:pPr>
        <w:pStyle w:val="Default"/>
        <w:ind w:firstLine="450"/>
        <w:jc w:val="both"/>
        <w:rPr>
          <w:rFonts w:ascii="Palatino Linotype" w:hAnsi="Palatino Linotype"/>
          <w:bCs/>
          <w:sz w:val="22"/>
          <w:szCs w:val="22"/>
        </w:rPr>
      </w:pPr>
      <w:r w:rsidRPr="002C44D5">
        <w:rPr>
          <w:rFonts w:ascii="Palatino Linotype" w:hAnsi="Palatino Linotype"/>
          <w:sz w:val="22"/>
          <w:szCs w:val="22"/>
        </w:rPr>
        <w:t xml:space="preserve">Hasil </w:t>
      </w:r>
      <w:r>
        <w:rPr>
          <w:rFonts w:ascii="Palatino Linotype" w:hAnsi="Palatino Linotype"/>
          <w:sz w:val="22"/>
          <w:szCs w:val="22"/>
        </w:rPr>
        <w:t xml:space="preserve">studi </w:t>
      </w:r>
      <w:r w:rsidRPr="002C44D5">
        <w:rPr>
          <w:rFonts w:ascii="Palatino Linotype" w:hAnsi="Palatino Linotype"/>
          <w:sz w:val="22"/>
          <w:szCs w:val="22"/>
        </w:rPr>
        <w:t xml:space="preserve">ini telah teridentifikasi dan terpetakan daerah-daerah </w:t>
      </w:r>
      <w:r w:rsidRPr="002C44D5">
        <w:rPr>
          <w:rFonts w:ascii="Palatino Linotype" w:hAnsi="Palatino Linotype"/>
          <w:bCs/>
          <w:sz w:val="22"/>
          <w:szCs w:val="22"/>
        </w:rPr>
        <w:t xml:space="preserve">yang berpotensi mengalami ancaman bahaya gempabumi berdasarkan parameter fisis batuan </w:t>
      </w:r>
      <w:r w:rsidR="00410366">
        <w:rPr>
          <w:rFonts w:ascii="Palatino Linotype" w:hAnsi="Palatino Linotype"/>
          <w:bCs/>
          <w:sz w:val="22"/>
          <w:szCs w:val="22"/>
        </w:rPr>
        <w:t xml:space="preserve">dan metode AHP </w:t>
      </w:r>
      <w:r w:rsidRPr="002C44D5">
        <w:rPr>
          <w:rFonts w:ascii="Palatino Linotype" w:hAnsi="Palatino Linotype"/>
          <w:bCs/>
          <w:sz w:val="22"/>
          <w:szCs w:val="22"/>
        </w:rPr>
        <w:t>di Kota Bengkulu</w:t>
      </w:r>
      <w:r w:rsidR="00410366">
        <w:rPr>
          <w:rFonts w:ascii="Palatino Linotype" w:hAnsi="Palatino Linotype"/>
          <w:bCs/>
          <w:sz w:val="22"/>
          <w:szCs w:val="22"/>
        </w:rPr>
        <w:t>, Provinsi Bengkulu</w:t>
      </w:r>
      <w:r w:rsidRPr="002C44D5">
        <w:rPr>
          <w:rFonts w:ascii="Palatino Linotype" w:hAnsi="Palatino Linotype"/>
          <w:bCs/>
          <w:sz w:val="22"/>
          <w:szCs w:val="22"/>
        </w:rPr>
        <w:t xml:space="preserve">. Berdasarkan peta ancaman bahaya gempabumi tersebut daerah yang berisiko tinggi perlu lebih diwaspadai dan perlu perencanaan pembangunan yang mengacu </w:t>
      </w:r>
      <w:r w:rsidR="00410366">
        <w:rPr>
          <w:rFonts w:ascii="Palatino Linotype" w:hAnsi="Palatino Linotype"/>
          <w:bCs/>
          <w:sz w:val="22"/>
          <w:szCs w:val="22"/>
        </w:rPr>
        <w:t xml:space="preserve">kepada </w:t>
      </w:r>
      <w:r w:rsidRPr="002C44D5">
        <w:rPr>
          <w:rFonts w:ascii="Palatino Linotype" w:hAnsi="Palatino Linotype"/>
          <w:bCs/>
          <w:sz w:val="22"/>
          <w:szCs w:val="22"/>
        </w:rPr>
        <w:t xml:space="preserve">standar risiko bencana. Daerah berisiko tinggi terletak di Kecamatan Gading Cempaka, Kecamatan Singaranpati, Kecamatan Selebar, sebagian kecil Kecamatan Ratu Agung, dan Kecamatan Muara Bangkahulu. Daerah berisiko rendah hanya terdapat di Kecamatan Selebar dan yang lainnya berpotensi sedang. </w:t>
      </w:r>
    </w:p>
    <w:p w:rsidR="00A63860" w:rsidRPr="006E1819" w:rsidRDefault="00A63860" w:rsidP="00410366">
      <w:pPr>
        <w:pStyle w:val="Fluxisi"/>
        <w:ind w:firstLine="0"/>
        <w:rPr>
          <w:lang w:val="en-US"/>
        </w:rPr>
      </w:pPr>
    </w:p>
    <w:p w:rsidR="00A63860" w:rsidRPr="006E1819" w:rsidRDefault="00A63860" w:rsidP="00A63860">
      <w:pPr>
        <w:pStyle w:val="Heading1"/>
        <w:rPr>
          <w:lang w:val="en-US"/>
        </w:rPr>
      </w:pPr>
      <w:r w:rsidRPr="006E1819">
        <w:t>UCAPAN TERIMA KASIH</w:t>
      </w:r>
      <w:r w:rsidRPr="006E1819">
        <w:rPr>
          <w:lang w:val="en-US"/>
        </w:rPr>
        <w:t xml:space="preserve"> </w:t>
      </w:r>
    </w:p>
    <w:p w:rsidR="00B236E2" w:rsidRDefault="00B236E2" w:rsidP="00B236E2">
      <w:pPr>
        <w:pStyle w:val="Default"/>
        <w:ind w:firstLine="450"/>
        <w:jc w:val="both"/>
        <w:rPr>
          <w:rFonts w:ascii="Palatino Linotype" w:hAnsi="Palatino Linotype"/>
          <w:sz w:val="22"/>
          <w:szCs w:val="22"/>
          <w:lang w:val="sv-SE"/>
        </w:rPr>
      </w:pPr>
      <w:r w:rsidRPr="00B236E2">
        <w:rPr>
          <w:rFonts w:ascii="Palatino Linotype" w:hAnsi="Palatino Linotype"/>
          <w:sz w:val="22"/>
          <w:szCs w:val="22"/>
        </w:rPr>
        <w:t xml:space="preserve">Penelitian </w:t>
      </w:r>
      <w:r>
        <w:rPr>
          <w:rFonts w:ascii="Palatino Linotype" w:hAnsi="Palatino Linotype"/>
          <w:sz w:val="22"/>
          <w:szCs w:val="22"/>
        </w:rPr>
        <w:t xml:space="preserve">ini terlaksana melalui dukungan </w:t>
      </w:r>
      <w:proofErr w:type="gramStart"/>
      <w:r>
        <w:rPr>
          <w:rFonts w:ascii="Palatino Linotype" w:hAnsi="Palatino Linotype"/>
          <w:sz w:val="22"/>
          <w:szCs w:val="22"/>
        </w:rPr>
        <w:t>dana</w:t>
      </w:r>
      <w:proofErr w:type="gramEnd"/>
      <w:r>
        <w:rPr>
          <w:rFonts w:ascii="Palatino Linotype" w:hAnsi="Palatino Linotype"/>
          <w:sz w:val="22"/>
          <w:szCs w:val="22"/>
        </w:rPr>
        <w:t xml:space="preserve"> </w:t>
      </w:r>
      <w:r w:rsidR="00615BF9">
        <w:rPr>
          <w:rFonts w:ascii="Palatino Linotype" w:hAnsi="Palatino Linotype"/>
          <w:sz w:val="22"/>
          <w:szCs w:val="22"/>
        </w:rPr>
        <w:t xml:space="preserve">dari </w:t>
      </w:r>
      <w:r>
        <w:rPr>
          <w:rFonts w:ascii="Palatino Linotype" w:hAnsi="Palatino Linotype"/>
          <w:sz w:val="22"/>
          <w:szCs w:val="22"/>
        </w:rPr>
        <w:t xml:space="preserve">“Penelitian </w:t>
      </w:r>
      <w:r w:rsidRPr="00B236E2">
        <w:rPr>
          <w:rFonts w:ascii="Palatino Linotype" w:hAnsi="Palatino Linotype"/>
          <w:sz w:val="22"/>
          <w:szCs w:val="22"/>
        </w:rPr>
        <w:t xml:space="preserve">Skim </w:t>
      </w:r>
      <w:r>
        <w:rPr>
          <w:rFonts w:ascii="Palatino Linotype" w:hAnsi="Palatino Linotype"/>
          <w:sz w:val="22"/>
          <w:szCs w:val="22"/>
        </w:rPr>
        <w:t xml:space="preserve">Unggulan FMIPA UNIB TA 2020” </w:t>
      </w:r>
      <w:r>
        <w:rPr>
          <w:rFonts w:ascii="Palatino Linotype" w:hAnsi="Palatino Linotype"/>
          <w:sz w:val="22"/>
          <w:szCs w:val="22"/>
          <w:lang w:val="sv-SE"/>
        </w:rPr>
        <w:t>dengan</w:t>
      </w:r>
      <w:r w:rsidRPr="00B236E2">
        <w:rPr>
          <w:rFonts w:ascii="Palatino Linotype" w:hAnsi="Palatino Linotype"/>
          <w:sz w:val="22"/>
          <w:szCs w:val="22"/>
          <w:lang w:val="sv-SE"/>
        </w:rPr>
        <w:t xml:space="preserve"> Perjanjian Kontrak Penelitian Nomor: </w:t>
      </w:r>
      <w:r w:rsidRPr="00B236E2">
        <w:rPr>
          <w:rFonts w:ascii="Palatino Linotype" w:hAnsi="Palatino Linotype"/>
          <w:sz w:val="22"/>
          <w:szCs w:val="22"/>
          <w:lang w:val="sv-SE"/>
        </w:rPr>
        <w:t>2049/UN30.12/HK/2020 tanggal 09 Juli 2020.</w:t>
      </w:r>
      <w:r>
        <w:rPr>
          <w:rFonts w:ascii="Palatino Linotype" w:hAnsi="Palatino Linotype"/>
          <w:sz w:val="22"/>
          <w:szCs w:val="22"/>
          <w:lang w:val="sv-SE"/>
        </w:rPr>
        <w:t xml:space="preserve"> Untuk itu, para penulis mengucapkan terim</w:t>
      </w:r>
      <w:r w:rsidR="00483DE4">
        <w:rPr>
          <w:rFonts w:ascii="Palatino Linotype" w:hAnsi="Palatino Linotype"/>
          <w:sz w:val="22"/>
          <w:szCs w:val="22"/>
          <w:lang w:val="sv-SE"/>
        </w:rPr>
        <w:t>a kasih setulusnya kepada Dekan</w:t>
      </w:r>
      <w:r>
        <w:rPr>
          <w:rFonts w:ascii="Palatino Linotype" w:hAnsi="Palatino Linotype"/>
          <w:sz w:val="22"/>
          <w:szCs w:val="22"/>
          <w:lang w:val="sv-SE"/>
        </w:rPr>
        <w:t>, Ketua Jurusan Fisika, Ketua Program Studi Geofisika, dan Ketua Laboratorium Fisika FMIPA Universitas Bengkulu yang telah memfasilitasi pelaksa</w:t>
      </w:r>
      <w:r w:rsidR="002E2AFB">
        <w:rPr>
          <w:rFonts w:ascii="Palatino Linotype" w:hAnsi="Palatino Linotype"/>
          <w:sz w:val="22"/>
          <w:szCs w:val="22"/>
          <w:lang w:val="sv-SE"/>
        </w:rPr>
        <w:t>na</w:t>
      </w:r>
      <w:r>
        <w:rPr>
          <w:rFonts w:ascii="Palatino Linotype" w:hAnsi="Palatino Linotype"/>
          <w:sz w:val="22"/>
          <w:szCs w:val="22"/>
          <w:lang w:val="sv-SE"/>
        </w:rPr>
        <w:t>an penelitian ini.</w:t>
      </w:r>
    </w:p>
    <w:p w:rsidR="00443B9D" w:rsidRPr="00B236E2" w:rsidRDefault="00443B9D" w:rsidP="00F66129">
      <w:pPr>
        <w:pStyle w:val="Default"/>
        <w:jc w:val="both"/>
        <w:rPr>
          <w:rFonts w:ascii="Palatino Linotype" w:hAnsi="Palatino Linotype"/>
          <w:sz w:val="22"/>
          <w:szCs w:val="22"/>
          <w:lang w:val="sv-SE"/>
        </w:rPr>
      </w:pPr>
    </w:p>
    <w:p w:rsidR="00A63860" w:rsidRPr="00B236E2" w:rsidRDefault="00A63860" w:rsidP="00A63860">
      <w:pPr>
        <w:pStyle w:val="Heading1"/>
        <w:rPr>
          <w:szCs w:val="22"/>
          <w:lang w:val="en-US"/>
        </w:rPr>
      </w:pPr>
      <w:r w:rsidRPr="00B236E2">
        <w:rPr>
          <w:szCs w:val="22"/>
        </w:rPr>
        <w:t>DAFTAR PUSTAKA</w:t>
      </w:r>
      <w:r w:rsidRPr="00B236E2">
        <w:rPr>
          <w:szCs w:val="22"/>
          <w:lang w:val="en-US"/>
        </w:rPr>
        <w:t xml:space="preserve"> </w:t>
      </w:r>
    </w:p>
    <w:p w:rsidR="002F22FD" w:rsidRPr="003B0A09" w:rsidRDefault="002F22FD" w:rsidP="002F22FD">
      <w:pPr>
        <w:autoSpaceDE w:val="0"/>
        <w:autoSpaceDN w:val="0"/>
        <w:adjustRightInd w:val="0"/>
        <w:ind w:left="450" w:hanging="450"/>
        <w:jc w:val="both"/>
        <w:rPr>
          <w:rFonts w:ascii="Palatino Linotype" w:hAnsi="Palatino Linotype"/>
          <w:sz w:val="22"/>
          <w:szCs w:val="22"/>
        </w:rPr>
      </w:pPr>
      <w:r w:rsidRPr="003B0A09">
        <w:rPr>
          <w:rFonts w:ascii="Palatino Linotype" w:hAnsi="Palatino Linotype"/>
          <w:sz w:val="22"/>
          <w:szCs w:val="22"/>
        </w:rPr>
        <w:t xml:space="preserve">Allen, T.I. &amp; Wald, D.J. (2007). </w:t>
      </w:r>
      <w:r w:rsidR="0007332F">
        <w:rPr>
          <w:rFonts w:ascii="Palatino Linotype" w:hAnsi="Palatino Linotype"/>
          <w:i/>
          <w:sz w:val="22"/>
          <w:szCs w:val="22"/>
        </w:rPr>
        <w:t>T</w:t>
      </w:r>
      <w:r w:rsidR="0007332F" w:rsidRPr="003B0A09">
        <w:rPr>
          <w:rFonts w:ascii="Palatino Linotype" w:hAnsi="Palatino Linotype"/>
          <w:i/>
          <w:sz w:val="22"/>
          <w:szCs w:val="22"/>
        </w:rPr>
        <w:t xml:space="preserve">opographic slope as a proxy for global seismic site conditions </w:t>
      </w:r>
      <w:r w:rsidRPr="003B0A09">
        <w:rPr>
          <w:rFonts w:ascii="Palatino Linotype" w:hAnsi="Palatino Linotype"/>
          <w:i/>
          <w:sz w:val="22"/>
          <w:szCs w:val="22"/>
        </w:rPr>
        <w:t>(</w:t>
      </w:r>
      <w:r w:rsidRPr="003B0A09">
        <w:rPr>
          <w:rFonts w:ascii="Palatino Linotype" w:hAnsi="Palatino Linotype"/>
          <w:position w:val="-12"/>
          <w:sz w:val="22"/>
          <w:szCs w:val="22"/>
        </w:rPr>
        <w:object w:dxaOrig="380" w:dyaOrig="380">
          <v:shape id="_x0000_i1029" type="#_x0000_t75" style="width:17.65pt;height:17.65pt" o:ole="">
            <v:imagedata r:id="rId28" o:title=""/>
          </v:shape>
          <o:OLEObject Type="Embed" ProgID="Equation.3" ShapeID="_x0000_i1029" DrawAspect="Content" ObjectID="_1666683506" r:id="rId29"/>
        </w:object>
      </w:r>
      <w:r w:rsidRPr="003B0A09">
        <w:rPr>
          <w:rFonts w:ascii="Palatino Linotype" w:hAnsi="Palatino Linotype"/>
          <w:i/>
          <w:sz w:val="22"/>
          <w:szCs w:val="22"/>
        </w:rPr>
        <w:t xml:space="preserve">) and </w:t>
      </w:r>
      <w:r w:rsidR="0007332F" w:rsidRPr="003B0A09">
        <w:rPr>
          <w:rFonts w:ascii="Palatino Linotype" w:hAnsi="Palatino Linotype"/>
          <w:i/>
          <w:sz w:val="22"/>
          <w:szCs w:val="22"/>
        </w:rPr>
        <w:t>amplification around the g</w:t>
      </w:r>
      <w:r w:rsidRPr="003B0A09">
        <w:rPr>
          <w:rFonts w:ascii="Palatino Linotype" w:hAnsi="Palatino Linotype"/>
          <w:i/>
          <w:sz w:val="22"/>
          <w:szCs w:val="22"/>
        </w:rPr>
        <w:t>lobe</w:t>
      </w:r>
      <w:r w:rsidRPr="003B0A09">
        <w:rPr>
          <w:rFonts w:ascii="Palatino Linotype" w:hAnsi="Palatino Linotype"/>
          <w:sz w:val="22"/>
          <w:szCs w:val="22"/>
        </w:rPr>
        <w:t xml:space="preserve">. Reston, Va.: U.S. Geological Survey. </w:t>
      </w:r>
      <w:hyperlink w:history="1">
        <w:r w:rsidR="00303B25" w:rsidRPr="003B0A09">
          <w:rPr>
            <w:rStyle w:val="Hyperlink"/>
            <w:rFonts w:ascii="Palatino Linotype" w:eastAsia="Arial Unicode MS" w:hAnsi="Palatino Linotype" w:cs="Arial Unicode MS" w:hint="eastAsia"/>
            <w:color w:val="auto"/>
            <w:sz w:val="22"/>
            <w:szCs w:val="22"/>
            <w:u w:val="none"/>
            <w:shd w:val="clear" w:color="auto" w:fill="FFFFFF"/>
          </w:rPr>
          <w:t>http://</w:t>
        </w:r>
        <w:r w:rsidR="00303B25" w:rsidRPr="003B0A09">
          <w:rPr>
            <w:rStyle w:val="Hyperlink"/>
            <w:rFonts w:ascii="Palatino Linotype" w:eastAsia="Arial Unicode MS" w:hAnsi="Palatino Linotype" w:cs="Arial Unicode MS"/>
            <w:color w:val="auto"/>
            <w:sz w:val="22"/>
            <w:szCs w:val="22"/>
            <w:u w:val="none"/>
            <w:shd w:val="clear" w:color="auto" w:fill="FFFFFF"/>
            <w:lang w:val="en-US"/>
          </w:rPr>
          <w:t xml:space="preserve"> </w:t>
        </w:r>
        <w:r w:rsidR="00303B25" w:rsidRPr="003B0A09">
          <w:rPr>
            <w:rStyle w:val="Hyperlink"/>
            <w:rFonts w:ascii="Palatino Linotype" w:eastAsia="Arial Unicode MS" w:hAnsi="Palatino Linotype" w:cs="Arial Unicode MS" w:hint="eastAsia"/>
            <w:color w:val="auto"/>
            <w:sz w:val="22"/>
            <w:szCs w:val="22"/>
            <w:u w:val="none"/>
            <w:shd w:val="clear" w:color="auto" w:fill="FFFFFF"/>
          </w:rPr>
          <w:t>purl.access.gpo.gov/GPO/LPS89104</w:t>
        </w:r>
      </w:hyperlink>
      <w:r w:rsidRPr="003B0A09">
        <w:rPr>
          <w:rFonts w:ascii="Palatino Linotype" w:hAnsi="Palatino Linotype"/>
          <w:sz w:val="22"/>
          <w:szCs w:val="22"/>
        </w:rPr>
        <w:t>.</w:t>
      </w:r>
    </w:p>
    <w:p w:rsidR="002F22FD" w:rsidRPr="0062472C" w:rsidRDefault="002F22FD" w:rsidP="002F22FD">
      <w:pPr>
        <w:ind w:left="450" w:hanging="450"/>
        <w:jc w:val="both"/>
        <w:rPr>
          <w:rFonts w:ascii="Palatino Linotype" w:hAnsi="Palatino Linotype"/>
          <w:sz w:val="22"/>
          <w:szCs w:val="22"/>
          <w:shd w:val="clear" w:color="auto" w:fill="FFFFFF"/>
        </w:rPr>
      </w:pPr>
      <w:r w:rsidRPr="003B0A09">
        <w:rPr>
          <w:rFonts w:ascii="Palatino Linotype" w:hAnsi="Palatino Linotype"/>
          <w:sz w:val="22"/>
          <w:szCs w:val="22"/>
        </w:rPr>
        <w:t xml:space="preserve">Anderson, J.G., Bodin, P., Brune, J.N., Prince, J., Singh, S.K., Quaas, R., &amp; Onate, M. (1986). </w:t>
      </w:r>
      <w:r w:rsidR="0093299C">
        <w:rPr>
          <w:rFonts w:ascii="Palatino Linotype" w:hAnsi="Palatino Linotype"/>
          <w:sz w:val="22"/>
          <w:szCs w:val="22"/>
        </w:rPr>
        <w:t>S</w:t>
      </w:r>
      <w:r w:rsidR="0093299C" w:rsidRPr="003B0A09">
        <w:rPr>
          <w:rFonts w:ascii="Palatino Linotype" w:hAnsi="Palatino Linotype"/>
          <w:sz w:val="22"/>
          <w:szCs w:val="22"/>
        </w:rPr>
        <w:t>trong ground motion from the michoacan, mexico, earthquake</w:t>
      </w:r>
      <w:r w:rsidRPr="003B0A09">
        <w:rPr>
          <w:rFonts w:ascii="Palatino Linotype" w:hAnsi="Palatino Linotype"/>
          <w:sz w:val="22"/>
          <w:szCs w:val="22"/>
        </w:rPr>
        <w:t xml:space="preserve">. </w:t>
      </w:r>
      <w:hyperlink r:id="rId30" w:tgtFrame="_blank" w:history="1">
        <w:r w:rsidRPr="003B0A09">
          <w:rPr>
            <w:rStyle w:val="Hyperlink"/>
            <w:rFonts w:ascii="Palatino Linotype" w:hAnsi="Palatino Linotype"/>
            <w:i/>
            <w:color w:val="auto"/>
            <w:sz w:val="22"/>
            <w:szCs w:val="22"/>
            <w:u w:val="none"/>
            <w:bdr w:val="none" w:sz="0" w:space="0" w:color="auto" w:frame="1"/>
          </w:rPr>
          <w:t>Science</w:t>
        </w:r>
      </w:hyperlink>
      <w:r w:rsidRPr="003B0A09">
        <w:rPr>
          <w:rFonts w:ascii="Palatino Linotype" w:hAnsi="Palatino Linotype"/>
          <w:sz w:val="22"/>
          <w:szCs w:val="22"/>
        </w:rPr>
        <w:t>, </w:t>
      </w:r>
      <w:r w:rsidRPr="003B0A09">
        <w:rPr>
          <w:rFonts w:ascii="Palatino Linotype" w:hAnsi="Palatino Linotype"/>
          <w:i/>
          <w:sz w:val="22"/>
          <w:szCs w:val="22"/>
        </w:rPr>
        <w:t>233</w:t>
      </w:r>
      <w:r w:rsidRPr="003B0A09">
        <w:rPr>
          <w:rFonts w:ascii="Palatino Linotype" w:hAnsi="Palatino Linotype"/>
          <w:sz w:val="22"/>
          <w:szCs w:val="22"/>
        </w:rPr>
        <w:t xml:space="preserve">(4768), 1043-1049. </w:t>
      </w:r>
      <w:hyperlink w:history="1">
        <w:r w:rsidR="0062472C" w:rsidRPr="0062472C">
          <w:rPr>
            <w:rStyle w:val="Hyperlink"/>
            <w:rFonts w:ascii="Palatino Linotype" w:hAnsi="Palatino Linotype"/>
            <w:color w:val="auto"/>
            <w:sz w:val="22"/>
            <w:szCs w:val="22"/>
            <w:u w:val="none"/>
          </w:rPr>
          <w:t>https://doi.</w:t>
        </w:r>
        <w:r w:rsidR="0062472C" w:rsidRPr="0062472C">
          <w:rPr>
            <w:rStyle w:val="Hyperlink"/>
            <w:rFonts w:ascii="Palatino Linotype" w:hAnsi="Palatino Linotype"/>
            <w:color w:val="auto"/>
            <w:sz w:val="22"/>
            <w:szCs w:val="22"/>
            <w:u w:val="none"/>
            <w:lang w:val="en-US"/>
          </w:rPr>
          <w:t xml:space="preserve"> </w:t>
        </w:r>
        <w:r w:rsidR="0062472C" w:rsidRPr="0062472C">
          <w:rPr>
            <w:rStyle w:val="Hyperlink"/>
            <w:rFonts w:ascii="Palatino Linotype" w:hAnsi="Palatino Linotype"/>
            <w:color w:val="auto"/>
            <w:sz w:val="22"/>
            <w:szCs w:val="22"/>
            <w:u w:val="none"/>
          </w:rPr>
          <w:t>org/</w:t>
        </w:r>
      </w:hyperlink>
      <w:r w:rsidRPr="0062472C">
        <w:rPr>
          <w:rFonts w:ascii="Palatino Linotype" w:hAnsi="Palatino Linotype"/>
          <w:sz w:val="22"/>
          <w:szCs w:val="22"/>
          <w:shd w:val="clear" w:color="auto" w:fill="FFFFFF"/>
        </w:rPr>
        <w:t>10.1126/science.233.4768.1043.</w:t>
      </w:r>
    </w:p>
    <w:p w:rsidR="002F22FD" w:rsidRPr="003B0A09" w:rsidRDefault="002F22FD" w:rsidP="002F22FD">
      <w:pPr>
        <w:ind w:left="450" w:hanging="450"/>
        <w:jc w:val="both"/>
        <w:rPr>
          <w:rFonts w:ascii="Palatino Linotype" w:hAnsi="Palatino Linotype"/>
          <w:sz w:val="22"/>
          <w:szCs w:val="22"/>
        </w:rPr>
      </w:pPr>
      <w:r w:rsidRPr="003B0A09">
        <w:rPr>
          <w:rFonts w:ascii="Palatino Linotype" w:hAnsi="Palatino Linotype"/>
          <w:sz w:val="22"/>
          <w:szCs w:val="22"/>
        </w:rPr>
        <w:t xml:space="preserve">BNPB (2012). </w:t>
      </w:r>
      <w:r w:rsidRPr="003B0A09">
        <w:rPr>
          <w:rFonts w:ascii="Palatino Linotype" w:hAnsi="Palatino Linotype"/>
          <w:i/>
          <w:sz w:val="22"/>
          <w:szCs w:val="22"/>
        </w:rPr>
        <w:t xml:space="preserve">Peraturan </w:t>
      </w:r>
      <w:r w:rsidR="002E4B19" w:rsidRPr="003B0A09">
        <w:rPr>
          <w:rFonts w:ascii="Palatino Linotype" w:hAnsi="Palatino Linotype"/>
          <w:i/>
          <w:sz w:val="22"/>
          <w:szCs w:val="22"/>
        </w:rPr>
        <w:t>kepala badan nasional penanggulangan bencana nomor 02 tahun 2012 tentang pedoman umum pengkajian risiko bencana, badan nasional penanggulangan bencana</w:t>
      </w:r>
      <w:r w:rsidRPr="003B0A09">
        <w:rPr>
          <w:rFonts w:ascii="Palatino Linotype" w:hAnsi="Palatino Linotype"/>
          <w:sz w:val="22"/>
          <w:szCs w:val="22"/>
        </w:rPr>
        <w:t xml:space="preserve">.  Jakarta: BNPB. </w:t>
      </w:r>
      <w:hyperlink r:id="rId31" w:history="1">
        <w:r w:rsidRPr="003B0A09">
          <w:rPr>
            <w:rStyle w:val="Hyperlink"/>
            <w:rFonts w:ascii="Palatino Linotype" w:hAnsi="Palatino Linotype"/>
            <w:color w:val="auto"/>
            <w:sz w:val="22"/>
            <w:szCs w:val="22"/>
            <w:u w:val="none"/>
          </w:rPr>
          <w:t>https://bnpb</w:t>
        </w:r>
      </w:hyperlink>
      <w:r w:rsidRPr="003B0A09">
        <w:rPr>
          <w:rFonts w:ascii="Palatino Linotype" w:hAnsi="Palatino Linotype"/>
          <w:sz w:val="22"/>
          <w:szCs w:val="22"/>
        </w:rPr>
        <w:t>.go.id//uploads/migration/pubs/30.pdf.</w:t>
      </w:r>
      <w:r w:rsidRPr="003B0A09">
        <w:rPr>
          <w:rFonts w:ascii="Palatino Linotype" w:hAnsi="Palatino Linotype"/>
          <w:i/>
          <w:sz w:val="22"/>
          <w:szCs w:val="22"/>
        </w:rPr>
        <w:t xml:space="preserve"> </w:t>
      </w:r>
    </w:p>
    <w:p w:rsidR="002F22FD" w:rsidRPr="003B0A09" w:rsidRDefault="002F22FD" w:rsidP="002F22FD">
      <w:pPr>
        <w:ind w:left="450" w:hanging="450"/>
        <w:jc w:val="both"/>
        <w:rPr>
          <w:rFonts w:ascii="Palatino Linotype" w:hAnsi="Palatino Linotype"/>
          <w:sz w:val="22"/>
          <w:szCs w:val="22"/>
        </w:rPr>
      </w:pPr>
      <w:r w:rsidRPr="003B0A09">
        <w:rPr>
          <w:rFonts w:ascii="Palatino Linotype" w:hAnsi="Palatino Linotype"/>
          <w:sz w:val="22"/>
          <w:szCs w:val="22"/>
        </w:rPr>
        <w:t xml:space="preserve">BPS. (2018). </w:t>
      </w:r>
      <w:r w:rsidRPr="003B0A09">
        <w:rPr>
          <w:rFonts w:ascii="Palatino Linotype" w:hAnsi="Palatino Linotype"/>
          <w:i/>
          <w:sz w:val="22"/>
          <w:szCs w:val="22"/>
        </w:rPr>
        <w:t xml:space="preserve">Kota </w:t>
      </w:r>
      <w:r w:rsidR="002E4B19">
        <w:rPr>
          <w:rFonts w:ascii="Palatino Linotype" w:hAnsi="Palatino Linotype"/>
          <w:i/>
          <w:sz w:val="22"/>
          <w:szCs w:val="22"/>
          <w:lang w:val="en-US"/>
        </w:rPr>
        <w:t>B</w:t>
      </w:r>
      <w:r w:rsidR="002E4B19" w:rsidRPr="003B0A09">
        <w:rPr>
          <w:rFonts w:ascii="Palatino Linotype" w:hAnsi="Palatino Linotype"/>
          <w:i/>
          <w:sz w:val="22"/>
          <w:szCs w:val="22"/>
        </w:rPr>
        <w:t>engkulu dalam angka</w:t>
      </w:r>
      <w:r w:rsidRPr="003B0A09">
        <w:rPr>
          <w:rFonts w:ascii="Palatino Linotype" w:hAnsi="Palatino Linotype"/>
          <w:sz w:val="22"/>
          <w:szCs w:val="22"/>
        </w:rPr>
        <w:t>. Bengkulu: Badan Pusat Statistik Kota Bengkulu.</w:t>
      </w:r>
    </w:p>
    <w:p w:rsidR="002F22FD" w:rsidRPr="003B0A09" w:rsidRDefault="002F22FD" w:rsidP="002F22FD">
      <w:pPr>
        <w:ind w:left="450" w:hanging="450"/>
        <w:jc w:val="both"/>
        <w:rPr>
          <w:rFonts w:ascii="Palatino Linotype" w:hAnsi="Palatino Linotype"/>
          <w:sz w:val="22"/>
          <w:szCs w:val="22"/>
        </w:rPr>
      </w:pPr>
      <w:r w:rsidRPr="003B0A09">
        <w:rPr>
          <w:rFonts w:ascii="Palatino Linotype" w:hAnsi="Palatino Linotype"/>
          <w:sz w:val="22"/>
          <w:szCs w:val="22"/>
        </w:rPr>
        <w:t xml:space="preserve">Daryono. (2011). </w:t>
      </w:r>
      <w:r w:rsidRPr="003B0A09">
        <w:rPr>
          <w:rFonts w:ascii="Palatino Linotype" w:hAnsi="Palatino Linotype"/>
          <w:i/>
          <w:sz w:val="22"/>
          <w:szCs w:val="22"/>
        </w:rPr>
        <w:t>Indeks Kerentanan Seismik Berdasarkan Mikrotremor pada Setiap Satuan Bentuklahan di Zona Graben Bantul Daerah Istimewa Yogyakarta</w:t>
      </w:r>
      <w:r w:rsidRPr="003B0A09">
        <w:rPr>
          <w:rFonts w:ascii="Palatino Linotype" w:hAnsi="Palatino Linotype"/>
          <w:sz w:val="22"/>
          <w:szCs w:val="22"/>
        </w:rPr>
        <w:t xml:space="preserve">. </w:t>
      </w:r>
      <w:r w:rsidRPr="003B0A09">
        <w:rPr>
          <w:rFonts w:ascii="Palatino Linotype" w:hAnsi="Palatino Linotype"/>
          <w:i/>
          <w:sz w:val="22"/>
          <w:szCs w:val="22"/>
        </w:rPr>
        <w:t>Disertasi</w:t>
      </w:r>
      <w:r w:rsidRPr="003B0A09">
        <w:rPr>
          <w:rFonts w:ascii="Palatino Linotype" w:hAnsi="Palatino Linotype"/>
          <w:sz w:val="22"/>
          <w:szCs w:val="22"/>
        </w:rPr>
        <w:t>. Universitas Gadjah Mada.</w:t>
      </w:r>
    </w:p>
    <w:p w:rsidR="002F22FD" w:rsidRPr="003B0A09" w:rsidRDefault="002F22FD" w:rsidP="002F22FD">
      <w:pPr>
        <w:ind w:left="450" w:hanging="450"/>
        <w:jc w:val="both"/>
        <w:rPr>
          <w:rFonts w:ascii="Palatino Linotype" w:hAnsi="Palatino Linotype"/>
          <w:bCs/>
          <w:sz w:val="22"/>
          <w:szCs w:val="22"/>
        </w:rPr>
      </w:pPr>
      <w:r w:rsidRPr="003B0A09">
        <w:rPr>
          <w:rFonts w:ascii="Palatino Linotype" w:hAnsi="Palatino Linotype"/>
          <w:bCs/>
          <w:sz w:val="22"/>
          <w:szCs w:val="22"/>
        </w:rPr>
        <w:t xml:space="preserve">Gafoer, S., Amin, T.C., &amp; Pardede. (2007). </w:t>
      </w:r>
      <w:r w:rsidRPr="003B0A09">
        <w:rPr>
          <w:rFonts w:ascii="Palatino Linotype" w:hAnsi="Palatino Linotype"/>
          <w:bCs/>
          <w:i/>
          <w:iCs/>
          <w:sz w:val="22"/>
          <w:szCs w:val="22"/>
        </w:rPr>
        <w:t xml:space="preserve">Geological </w:t>
      </w:r>
      <w:r w:rsidR="00205D19" w:rsidRPr="003B0A09">
        <w:rPr>
          <w:rFonts w:ascii="Palatino Linotype" w:hAnsi="Palatino Linotype"/>
          <w:bCs/>
          <w:i/>
          <w:iCs/>
          <w:sz w:val="22"/>
          <w:szCs w:val="22"/>
        </w:rPr>
        <w:t>map of</w:t>
      </w:r>
      <w:r w:rsidRPr="003B0A09">
        <w:rPr>
          <w:rFonts w:ascii="Palatino Linotype" w:hAnsi="Palatino Linotype"/>
          <w:bCs/>
          <w:i/>
          <w:iCs/>
          <w:sz w:val="22"/>
          <w:szCs w:val="22"/>
        </w:rPr>
        <w:t xml:space="preserve"> Bengkulu Quadrangle, Sumatra</w:t>
      </w:r>
      <w:r w:rsidRPr="003B0A09">
        <w:rPr>
          <w:rFonts w:ascii="Palatino Linotype" w:hAnsi="Palatino Linotype"/>
          <w:bCs/>
          <w:sz w:val="22"/>
          <w:szCs w:val="22"/>
        </w:rPr>
        <w:t xml:space="preserve">, </w:t>
      </w:r>
      <w:r w:rsidRPr="003B0A09">
        <w:rPr>
          <w:rFonts w:ascii="Palatino Linotype" w:hAnsi="Palatino Linotype"/>
          <w:i/>
          <w:iCs/>
          <w:sz w:val="22"/>
          <w:szCs w:val="22"/>
        </w:rPr>
        <w:t>scale 1:250,000</w:t>
      </w:r>
      <w:r w:rsidRPr="003B0A09">
        <w:rPr>
          <w:rFonts w:ascii="Palatino Linotype" w:hAnsi="Palatino Linotype"/>
          <w:sz w:val="22"/>
          <w:szCs w:val="22"/>
        </w:rPr>
        <w:t xml:space="preserve">. Bandung: </w:t>
      </w:r>
      <w:r w:rsidRPr="003B0A09">
        <w:rPr>
          <w:rFonts w:ascii="Palatino Linotype" w:hAnsi="Palatino Linotype"/>
          <w:bCs/>
          <w:sz w:val="22"/>
          <w:szCs w:val="22"/>
        </w:rPr>
        <w:t>Department of Mines and Energy, Directorate General of Geology and Mineral Resources, Geological Research and Development Centre.</w:t>
      </w:r>
    </w:p>
    <w:p w:rsidR="002F22FD" w:rsidRPr="003B0A09" w:rsidRDefault="002F22FD" w:rsidP="002F22FD">
      <w:pPr>
        <w:ind w:left="450" w:hanging="450"/>
        <w:jc w:val="both"/>
        <w:rPr>
          <w:rFonts w:ascii="Palatino Linotype" w:hAnsi="Palatino Linotype"/>
          <w:bCs/>
          <w:sz w:val="22"/>
          <w:szCs w:val="22"/>
        </w:rPr>
      </w:pPr>
      <w:r w:rsidRPr="003B0A09">
        <w:rPr>
          <w:rFonts w:ascii="Palatino Linotype" w:hAnsi="Palatino Linotype"/>
          <w:bCs/>
          <w:sz w:val="22"/>
          <w:szCs w:val="22"/>
        </w:rPr>
        <w:t xml:space="preserve">Gafoer, S., Amin, T.C., &amp; Pardede. (2012). </w:t>
      </w:r>
      <w:r w:rsidRPr="003B0A09">
        <w:rPr>
          <w:rFonts w:ascii="Palatino Linotype" w:hAnsi="Palatino Linotype"/>
          <w:bCs/>
          <w:i/>
          <w:iCs/>
          <w:sz w:val="22"/>
          <w:szCs w:val="22"/>
        </w:rPr>
        <w:t>Geology of the Bengkulu Quadrangle, Sumatra</w:t>
      </w:r>
      <w:r w:rsidRPr="003B0A09">
        <w:rPr>
          <w:rFonts w:ascii="Palatino Linotype" w:hAnsi="Palatino Linotype"/>
          <w:bCs/>
          <w:sz w:val="22"/>
          <w:szCs w:val="22"/>
        </w:rPr>
        <w:t xml:space="preserve">. Bandung: Department of Mines and Energy, Directorate General of Geology and Mineral Resources, </w:t>
      </w:r>
      <w:r w:rsidRPr="003B0A09">
        <w:rPr>
          <w:rFonts w:ascii="Palatino Linotype" w:hAnsi="Palatino Linotype"/>
          <w:bCs/>
          <w:sz w:val="22"/>
          <w:szCs w:val="22"/>
        </w:rPr>
        <w:lastRenderedPageBreak/>
        <w:t>Geological Research and Development Centre.</w:t>
      </w:r>
    </w:p>
    <w:p w:rsidR="002F22FD" w:rsidRPr="003B0A09" w:rsidRDefault="002F22FD" w:rsidP="002F22FD">
      <w:pPr>
        <w:ind w:left="450" w:hanging="450"/>
        <w:jc w:val="both"/>
        <w:rPr>
          <w:rFonts w:ascii="Palatino Linotype" w:hAnsi="Palatino Linotype"/>
          <w:bCs/>
          <w:sz w:val="22"/>
          <w:szCs w:val="22"/>
        </w:rPr>
      </w:pPr>
      <w:r w:rsidRPr="003B0A09">
        <w:rPr>
          <w:rFonts w:ascii="Palatino Linotype" w:hAnsi="Palatino Linotype"/>
          <w:sz w:val="22"/>
          <w:szCs w:val="22"/>
        </w:rPr>
        <w:t xml:space="preserve">Hadi, A.I. &amp; Brotopuspito, K.S. (2015). </w:t>
      </w:r>
      <w:r w:rsidRPr="003B0A09">
        <w:rPr>
          <w:rFonts w:ascii="Palatino Linotype" w:hAnsi="Palatino Linotype"/>
          <w:bCs/>
          <w:sz w:val="22"/>
          <w:szCs w:val="22"/>
        </w:rPr>
        <w:t xml:space="preserve">Pemetaan </w:t>
      </w:r>
      <w:r w:rsidR="00205D19" w:rsidRPr="003B0A09">
        <w:rPr>
          <w:rFonts w:ascii="Palatino Linotype" w:hAnsi="Palatino Linotype"/>
          <w:bCs/>
          <w:sz w:val="22"/>
          <w:szCs w:val="22"/>
        </w:rPr>
        <w:t xml:space="preserve">percepatan getaran tanah maksimum dengan menggunakan pendekatan </w:t>
      </w:r>
      <w:r w:rsidR="00205D19" w:rsidRPr="003B0A09">
        <w:rPr>
          <w:rFonts w:ascii="Palatino Linotype" w:hAnsi="Palatino Linotype"/>
          <w:bCs/>
          <w:i/>
          <w:sz w:val="22"/>
          <w:szCs w:val="22"/>
        </w:rPr>
        <w:t>probabilistic seismic hazard analysis</w:t>
      </w:r>
      <w:r w:rsidR="00205D19" w:rsidRPr="003B0A09">
        <w:rPr>
          <w:rFonts w:ascii="Palatino Linotype" w:hAnsi="Palatino Linotype"/>
          <w:bCs/>
          <w:sz w:val="22"/>
          <w:szCs w:val="22"/>
        </w:rPr>
        <w:t xml:space="preserve"> </w:t>
      </w:r>
      <w:r w:rsidRPr="003B0A09">
        <w:rPr>
          <w:rFonts w:ascii="Palatino Linotype" w:hAnsi="Palatino Linotype"/>
          <w:bCs/>
          <w:sz w:val="22"/>
          <w:szCs w:val="22"/>
        </w:rPr>
        <w:t xml:space="preserve">(PSHA) di </w:t>
      </w:r>
      <w:r w:rsidR="00205D19" w:rsidRPr="003B0A09">
        <w:rPr>
          <w:rFonts w:ascii="Palatino Linotype" w:hAnsi="Palatino Linotype"/>
          <w:bCs/>
          <w:sz w:val="22"/>
          <w:szCs w:val="22"/>
        </w:rPr>
        <w:t>K</w:t>
      </w:r>
      <w:r w:rsidRPr="003B0A09">
        <w:rPr>
          <w:rFonts w:ascii="Palatino Linotype" w:hAnsi="Palatino Linotype"/>
          <w:bCs/>
          <w:sz w:val="22"/>
          <w:szCs w:val="22"/>
        </w:rPr>
        <w:t xml:space="preserve">abupaten Kepahiang Provinsi Bengkulu. </w:t>
      </w:r>
      <w:r w:rsidRPr="003B0A09">
        <w:rPr>
          <w:rFonts w:ascii="Palatino Linotype" w:hAnsi="Palatino Linotype"/>
          <w:bCs/>
          <w:i/>
          <w:sz w:val="22"/>
          <w:szCs w:val="22"/>
        </w:rPr>
        <w:t>J. Berkala Fisika</w:t>
      </w:r>
      <w:r w:rsidRPr="003B0A09">
        <w:rPr>
          <w:rFonts w:ascii="Palatino Linotype" w:hAnsi="Palatino Linotype"/>
          <w:bCs/>
          <w:sz w:val="22"/>
          <w:szCs w:val="22"/>
        </w:rPr>
        <w:t xml:space="preserve">, </w:t>
      </w:r>
      <w:r w:rsidRPr="003B0A09">
        <w:rPr>
          <w:rFonts w:ascii="Palatino Linotype" w:hAnsi="Palatino Linotype"/>
          <w:bCs/>
          <w:i/>
          <w:sz w:val="22"/>
          <w:szCs w:val="22"/>
        </w:rPr>
        <w:t>18</w:t>
      </w:r>
      <w:r w:rsidRPr="003B0A09">
        <w:rPr>
          <w:rFonts w:ascii="Palatino Linotype" w:hAnsi="Palatino Linotype"/>
          <w:bCs/>
          <w:sz w:val="22"/>
          <w:szCs w:val="22"/>
        </w:rPr>
        <w:t>(3), 101</w:t>
      </w:r>
      <w:r w:rsidRPr="003B0A09">
        <w:rPr>
          <w:rFonts w:ascii="Palatino Linotype" w:hAnsi="Palatino Linotype"/>
          <w:sz w:val="22"/>
          <w:szCs w:val="22"/>
        </w:rPr>
        <w:t>-</w:t>
      </w:r>
      <w:r w:rsidRPr="003B0A09">
        <w:rPr>
          <w:rFonts w:ascii="Palatino Linotype" w:hAnsi="Palatino Linotype"/>
          <w:bCs/>
          <w:sz w:val="22"/>
          <w:szCs w:val="22"/>
        </w:rPr>
        <w:t xml:space="preserve">112. </w:t>
      </w:r>
    </w:p>
    <w:p w:rsidR="002F22FD" w:rsidRPr="003B0A09" w:rsidRDefault="002F22FD" w:rsidP="002F22FD">
      <w:pPr>
        <w:ind w:left="450" w:hanging="450"/>
        <w:jc w:val="both"/>
        <w:rPr>
          <w:rFonts w:ascii="Palatino Linotype" w:hAnsi="Palatino Linotype"/>
          <w:sz w:val="22"/>
          <w:szCs w:val="22"/>
        </w:rPr>
      </w:pPr>
      <w:r w:rsidRPr="003B0A09">
        <w:rPr>
          <w:rFonts w:ascii="Palatino Linotype" w:hAnsi="Palatino Linotype"/>
          <w:sz w:val="22"/>
          <w:szCs w:val="22"/>
        </w:rPr>
        <w:t xml:space="preserve">Hadi, A.I. (2019). </w:t>
      </w:r>
      <w:r w:rsidRPr="003B0A09">
        <w:rPr>
          <w:rFonts w:ascii="Palatino Linotype" w:hAnsi="Palatino Linotype"/>
          <w:bCs/>
          <w:i/>
          <w:sz w:val="22"/>
          <w:szCs w:val="22"/>
          <w:lang w:val="it-IT"/>
        </w:rPr>
        <w:t>Studi Potensi Longsor Daerah Kabupaten Kepahiang, Provinsi Bengkulu Terutama Akibat Gempabumi Menggunakan Pendekatan Parameter Elastis</w:t>
      </w:r>
      <w:r w:rsidRPr="003B0A09">
        <w:rPr>
          <w:rFonts w:ascii="Palatino Linotype" w:hAnsi="Palatino Linotype"/>
          <w:bCs/>
          <w:sz w:val="22"/>
          <w:szCs w:val="22"/>
          <w:lang w:val="it-IT"/>
        </w:rPr>
        <w:t xml:space="preserve">. </w:t>
      </w:r>
      <w:r w:rsidRPr="003B0A09">
        <w:rPr>
          <w:rFonts w:ascii="Palatino Linotype" w:hAnsi="Palatino Linotype"/>
          <w:i/>
          <w:iCs/>
          <w:sz w:val="22"/>
          <w:szCs w:val="22"/>
        </w:rPr>
        <w:t>Disertasi</w:t>
      </w:r>
      <w:r w:rsidRPr="003B0A09">
        <w:rPr>
          <w:rFonts w:ascii="Palatino Linotype" w:hAnsi="Palatino Linotype"/>
          <w:iCs/>
          <w:sz w:val="22"/>
          <w:szCs w:val="22"/>
        </w:rPr>
        <w:t>. Universitas Gadjah Mada.</w:t>
      </w:r>
    </w:p>
    <w:p w:rsidR="002F22FD" w:rsidRPr="003B0A09" w:rsidRDefault="002F22FD" w:rsidP="002F22FD">
      <w:pPr>
        <w:ind w:left="450" w:hanging="450"/>
        <w:jc w:val="both"/>
        <w:rPr>
          <w:rFonts w:ascii="Palatino Linotype" w:hAnsi="Palatino Linotype"/>
          <w:sz w:val="22"/>
          <w:szCs w:val="22"/>
        </w:rPr>
      </w:pPr>
      <w:r w:rsidRPr="003B0A09">
        <w:rPr>
          <w:rFonts w:ascii="Palatino Linotype" w:hAnsi="Palatino Linotype"/>
          <w:sz w:val="22"/>
          <w:szCs w:val="22"/>
        </w:rPr>
        <w:t xml:space="preserve">Hadi, A.I., Farid, M., &amp; Fauzi, Y. (2012). Pemetaan </w:t>
      </w:r>
      <w:r w:rsidR="00664AAB" w:rsidRPr="003B0A09">
        <w:rPr>
          <w:rFonts w:ascii="Palatino Linotype" w:hAnsi="Palatino Linotype"/>
          <w:sz w:val="22"/>
          <w:szCs w:val="22"/>
        </w:rPr>
        <w:t xml:space="preserve">percepatan getaran tanah maksimum dan kerentanan seismik akibat gempa bumi untuk mendukung rencana tata ruang dan wilayah </w:t>
      </w:r>
      <w:r w:rsidRPr="003B0A09">
        <w:rPr>
          <w:rFonts w:ascii="Palatino Linotype" w:hAnsi="Palatino Linotype"/>
          <w:sz w:val="22"/>
          <w:szCs w:val="22"/>
        </w:rPr>
        <w:t xml:space="preserve">(RTRW) Kota Bengkulu. </w:t>
      </w:r>
      <w:r w:rsidRPr="003B0A09">
        <w:rPr>
          <w:rFonts w:ascii="Palatino Linotype" w:hAnsi="Palatino Linotype"/>
          <w:i/>
          <w:sz w:val="22"/>
          <w:szCs w:val="22"/>
        </w:rPr>
        <w:t>J. Simetri (Jurnal Ilmu Fisika Indonesia)</w:t>
      </w:r>
      <w:r w:rsidRPr="003B0A09">
        <w:rPr>
          <w:rFonts w:ascii="Palatino Linotype" w:hAnsi="Palatino Linotype"/>
          <w:sz w:val="22"/>
          <w:szCs w:val="22"/>
        </w:rPr>
        <w:t xml:space="preserve">, </w:t>
      </w:r>
      <w:r w:rsidRPr="003B0A09">
        <w:rPr>
          <w:rFonts w:ascii="Palatino Linotype" w:hAnsi="Palatino Linotype"/>
          <w:i/>
          <w:sz w:val="22"/>
          <w:szCs w:val="22"/>
        </w:rPr>
        <w:t>1</w:t>
      </w:r>
      <w:r w:rsidRPr="003B0A09">
        <w:rPr>
          <w:rFonts w:ascii="Palatino Linotype" w:hAnsi="Palatino Linotype"/>
          <w:sz w:val="22"/>
          <w:szCs w:val="22"/>
        </w:rPr>
        <w:t>(2(D)), 1217-81- 1217-86.</w:t>
      </w:r>
    </w:p>
    <w:p w:rsidR="002F22FD" w:rsidRPr="003B0A09" w:rsidRDefault="002F22FD" w:rsidP="002F22FD">
      <w:pPr>
        <w:ind w:left="450" w:hanging="450"/>
        <w:jc w:val="both"/>
        <w:rPr>
          <w:rFonts w:ascii="Palatino Linotype" w:hAnsi="Palatino Linotype"/>
          <w:sz w:val="22"/>
          <w:szCs w:val="22"/>
        </w:rPr>
      </w:pPr>
      <w:r w:rsidRPr="003B0A09">
        <w:rPr>
          <w:rFonts w:ascii="Palatino Linotype" w:hAnsi="Palatino Linotype"/>
          <w:sz w:val="22"/>
          <w:szCs w:val="22"/>
        </w:rPr>
        <w:t xml:space="preserve">Hadi, A.I., Suhendra, &amp; Efriyadi. (2010). </w:t>
      </w:r>
      <w:r w:rsidRPr="003B0A09">
        <w:rPr>
          <w:rFonts w:ascii="Palatino Linotype" w:hAnsi="Palatino Linotype"/>
          <w:bCs/>
          <w:sz w:val="22"/>
          <w:szCs w:val="22"/>
        </w:rPr>
        <w:t xml:space="preserve">Studi </w:t>
      </w:r>
      <w:r w:rsidR="00945C8A" w:rsidRPr="003B0A09">
        <w:rPr>
          <w:rFonts w:ascii="Palatino Linotype" w:hAnsi="Palatino Linotype"/>
          <w:bCs/>
          <w:sz w:val="22"/>
          <w:szCs w:val="22"/>
        </w:rPr>
        <w:t>analisis parameter gempa bengkulu berdasarkan data single-station dan multi-station serta pola sebarannya</w:t>
      </w:r>
      <w:r w:rsidRPr="003B0A09">
        <w:rPr>
          <w:rFonts w:ascii="Palatino Linotype" w:hAnsi="Palatino Linotype"/>
          <w:bCs/>
          <w:sz w:val="22"/>
          <w:szCs w:val="22"/>
        </w:rPr>
        <w:t xml:space="preserve">. </w:t>
      </w:r>
      <w:r w:rsidRPr="003B0A09">
        <w:rPr>
          <w:rFonts w:ascii="Palatino Linotype" w:hAnsi="Palatino Linotype"/>
          <w:i/>
          <w:sz w:val="22"/>
          <w:szCs w:val="22"/>
        </w:rPr>
        <w:t>Berkala Fisika</w:t>
      </w:r>
      <w:r w:rsidRPr="003B0A09">
        <w:rPr>
          <w:rFonts w:ascii="Palatino Linotype" w:hAnsi="Palatino Linotype"/>
          <w:sz w:val="22"/>
          <w:szCs w:val="22"/>
        </w:rPr>
        <w:t xml:space="preserve">, </w:t>
      </w:r>
      <w:r w:rsidRPr="003B0A09">
        <w:rPr>
          <w:rFonts w:ascii="Palatino Linotype" w:hAnsi="Palatino Linotype"/>
          <w:i/>
          <w:sz w:val="22"/>
          <w:szCs w:val="22"/>
        </w:rPr>
        <w:t>13</w:t>
      </w:r>
      <w:r w:rsidRPr="003B0A09">
        <w:rPr>
          <w:rFonts w:ascii="Palatino Linotype" w:hAnsi="Palatino Linotype"/>
          <w:sz w:val="22"/>
          <w:szCs w:val="22"/>
        </w:rPr>
        <w:t>(4), 105-112.</w:t>
      </w:r>
    </w:p>
    <w:p w:rsidR="002F22FD" w:rsidRPr="003B0A09" w:rsidRDefault="002F22FD" w:rsidP="002F22FD">
      <w:pPr>
        <w:ind w:left="450" w:hanging="450"/>
        <w:jc w:val="both"/>
        <w:rPr>
          <w:rFonts w:ascii="Palatino Linotype" w:hAnsi="Palatino Linotype"/>
          <w:sz w:val="22"/>
          <w:szCs w:val="22"/>
          <w:lang w:val="de-LU"/>
        </w:rPr>
      </w:pPr>
      <w:r w:rsidRPr="003B0A09">
        <w:rPr>
          <w:rFonts w:ascii="Palatino Linotype" w:hAnsi="Palatino Linotype"/>
          <w:sz w:val="22"/>
          <w:szCs w:val="22"/>
        </w:rPr>
        <w:t xml:space="preserve">Hadi, A.I., </w:t>
      </w:r>
      <w:r w:rsidRPr="003B0A09">
        <w:rPr>
          <w:rFonts w:ascii="Palatino Linotype" w:hAnsi="Palatino Linotype"/>
          <w:sz w:val="22"/>
          <w:szCs w:val="22"/>
          <w:lang w:val="de-LU"/>
        </w:rPr>
        <w:t xml:space="preserve">Suhendra, &amp; Manik, O.O. (2013). </w:t>
      </w:r>
      <w:r w:rsidRPr="003B0A09">
        <w:rPr>
          <w:rFonts w:ascii="Palatino Linotype" w:hAnsi="Palatino Linotype"/>
          <w:i/>
          <w:iCs/>
          <w:sz w:val="22"/>
          <w:szCs w:val="22"/>
          <w:lang w:val="de-LU"/>
        </w:rPr>
        <w:t xml:space="preserve">Pemetaan </w:t>
      </w:r>
      <w:r w:rsidR="00D47626" w:rsidRPr="003B0A09">
        <w:rPr>
          <w:rFonts w:ascii="Palatino Linotype" w:hAnsi="Palatino Linotype"/>
          <w:i/>
          <w:iCs/>
          <w:sz w:val="22"/>
          <w:szCs w:val="22"/>
          <w:lang w:val="de-LU"/>
        </w:rPr>
        <w:t>gempabumi berdasarkan tingk</w:t>
      </w:r>
      <w:r w:rsidR="00D47626">
        <w:rPr>
          <w:rFonts w:ascii="Palatino Linotype" w:hAnsi="Palatino Linotype"/>
          <w:i/>
          <w:iCs/>
          <w:sz w:val="22"/>
          <w:szCs w:val="22"/>
          <w:lang w:val="de-LU"/>
        </w:rPr>
        <w:t>at keaktifan gempa di Provinsi B</w:t>
      </w:r>
      <w:r w:rsidR="00D47626" w:rsidRPr="003B0A09">
        <w:rPr>
          <w:rFonts w:ascii="Palatino Linotype" w:hAnsi="Palatino Linotype"/>
          <w:i/>
          <w:iCs/>
          <w:sz w:val="22"/>
          <w:szCs w:val="22"/>
          <w:lang w:val="de-LU"/>
        </w:rPr>
        <w:t xml:space="preserve">engkulu periode </w:t>
      </w:r>
      <w:r w:rsidRPr="003B0A09">
        <w:rPr>
          <w:rFonts w:ascii="Palatino Linotype" w:hAnsi="Palatino Linotype"/>
          <w:i/>
          <w:iCs/>
          <w:sz w:val="22"/>
          <w:szCs w:val="22"/>
          <w:lang w:val="de-LU"/>
        </w:rPr>
        <w:t>1971-2011</w:t>
      </w:r>
      <w:r w:rsidRPr="003B0A09">
        <w:rPr>
          <w:rFonts w:ascii="Palatino Linotype" w:hAnsi="Palatino Linotype"/>
          <w:i/>
          <w:sz w:val="22"/>
          <w:szCs w:val="22"/>
          <w:lang w:val="de-LU"/>
        </w:rPr>
        <w:t>. Prosiding Semirata BKS PTN Barat</w:t>
      </w:r>
      <w:r w:rsidRPr="003B0A09">
        <w:rPr>
          <w:rFonts w:ascii="Palatino Linotype" w:hAnsi="Palatino Linotype"/>
          <w:sz w:val="22"/>
          <w:szCs w:val="22"/>
          <w:lang w:val="de-LU"/>
        </w:rPr>
        <w:t>. Universitas Lampung, 269-272.</w:t>
      </w:r>
    </w:p>
    <w:p w:rsidR="002F22FD" w:rsidRPr="003B0A09" w:rsidRDefault="002F22FD" w:rsidP="002F22FD">
      <w:pPr>
        <w:ind w:left="450" w:hanging="450"/>
        <w:jc w:val="both"/>
        <w:rPr>
          <w:rFonts w:ascii="Palatino Linotype" w:hAnsi="Palatino Linotype"/>
          <w:iCs/>
          <w:sz w:val="22"/>
          <w:szCs w:val="22"/>
        </w:rPr>
      </w:pPr>
      <w:r w:rsidRPr="003B0A09">
        <w:rPr>
          <w:rFonts w:ascii="Palatino Linotype" w:hAnsi="Palatino Linotype"/>
          <w:iCs/>
          <w:sz w:val="22"/>
          <w:szCs w:val="22"/>
        </w:rPr>
        <w:t xml:space="preserve">Irsyam, M., </w:t>
      </w:r>
      <w:r w:rsidRPr="003B0A09">
        <w:rPr>
          <w:rFonts w:ascii="Palatino Linotype" w:hAnsi="Palatino Linotype"/>
          <w:sz w:val="22"/>
          <w:szCs w:val="22"/>
        </w:rPr>
        <w:t>Sengara, W., Aldiamar, F., Widiyantoro, S., Triyoso, W., Hilman, D., Kertapati, E., Meilano, I., Suhardjono, Asrurifak, M., &amp; Ridwan, M. (</w:t>
      </w:r>
      <w:r w:rsidRPr="003B0A09">
        <w:rPr>
          <w:rFonts w:ascii="Palatino Linotype" w:hAnsi="Palatino Linotype"/>
          <w:iCs/>
          <w:sz w:val="22"/>
          <w:szCs w:val="22"/>
        </w:rPr>
        <w:t xml:space="preserve">2010). </w:t>
      </w:r>
      <w:r w:rsidRPr="003B0A09">
        <w:rPr>
          <w:rFonts w:ascii="Palatino Linotype" w:hAnsi="Palatino Linotype"/>
          <w:i/>
          <w:iCs/>
          <w:sz w:val="22"/>
          <w:szCs w:val="22"/>
        </w:rPr>
        <w:t xml:space="preserve">Ringkasan </w:t>
      </w:r>
      <w:r w:rsidR="000436BF" w:rsidRPr="003B0A09">
        <w:rPr>
          <w:rFonts w:ascii="Palatino Linotype" w:hAnsi="Palatino Linotype"/>
          <w:i/>
          <w:iCs/>
          <w:sz w:val="22"/>
          <w:szCs w:val="22"/>
        </w:rPr>
        <w:t xml:space="preserve">hasil studi tim revisi peta gempa </w:t>
      </w:r>
      <w:r w:rsidRPr="003B0A09">
        <w:rPr>
          <w:rFonts w:ascii="Palatino Linotype" w:hAnsi="Palatino Linotype"/>
          <w:i/>
          <w:iCs/>
          <w:sz w:val="22"/>
          <w:szCs w:val="22"/>
        </w:rPr>
        <w:t>Indonesia 2010</w:t>
      </w:r>
      <w:r w:rsidRPr="003B0A09">
        <w:rPr>
          <w:rFonts w:ascii="Palatino Linotype" w:hAnsi="Palatino Linotype"/>
          <w:iCs/>
          <w:sz w:val="22"/>
          <w:szCs w:val="22"/>
        </w:rPr>
        <w:t>. Bandung: Kementerian Pekerjaan Umum.</w:t>
      </w:r>
    </w:p>
    <w:p w:rsidR="002F22FD" w:rsidRPr="003B0A09" w:rsidRDefault="002F22FD" w:rsidP="002F22FD">
      <w:pPr>
        <w:ind w:left="450" w:hanging="450"/>
        <w:jc w:val="both"/>
        <w:rPr>
          <w:rFonts w:ascii="Palatino Linotype" w:hAnsi="Palatino Linotype"/>
          <w:sz w:val="22"/>
          <w:szCs w:val="22"/>
        </w:rPr>
      </w:pPr>
      <w:r w:rsidRPr="003B0A09">
        <w:rPr>
          <w:rFonts w:ascii="Palatino Linotype" w:hAnsi="Palatino Linotype"/>
          <w:sz w:val="22"/>
          <w:szCs w:val="22"/>
        </w:rPr>
        <w:t xml:space="preserve">Ishihara, K. (1996). </w:t>
      </w:r>
      <w:r w:rsidRPr="003B0A09">
        <w:rPr>
          <w:rFonts w:ascii="Palatino Linotype" w:hAnsi="Palatino Linotype"/>
          <w:i/>
          <w:sz w:val="22"/>
          <w:szCs w:val="22"/>
        </w:rPr>
        <w:t xml:space="preserve">Soil </w:t>
      </w:r>
      <w:r w:rsidR="000436BF" w:rsidRPr="003B0A09">
        <w:rPr>
          <w:rFonts w:ascii="Palatino Linotype" w:hAnsi="Palatino Linotype"/>
          <w:i/>
          <w:sz w:val="22"/>
          <w:szCs w:val="22"/>
        </w:rPr>
        <w:t xml:space="preserve">behaviour in earthquake </w:t>
      </w:r>
      <w:r w:rsidR="00DA6294" w:rsidRPr="003B0A09">
        <w:rPr>
          <w:rFonts w:ascii="Palatino Linotype" w:hAnsi="Palatino Linotype"/>
          <w:i/>
          <w:sz w:val="22"/>
          <w:szCs w:val="22"/>
        </w:rPr>
        <w:t>g</w:t>
      </w:r>
      <w:r w:rsidRPr="003B0A09">
        <w:rPr>
          <w:rFonts w:ascii="Palatino Linotype" w:hAnsi="Palatino Linotype"/>
          <w:i/>
          <w:sz w:val="22"/>
          <w:szCs w:val="22"/>
        </w:rPr>
        <w:t>eotechnics</w:t>
      </w:r>
      <w:r w:rsidRPr="003B0A09">
        <w:rPr>
          <w:rFonts w:ascii="Palatino Linotype" w:hAnsi="Palatino Linotype"/>
          <w:sz w:val="22"/>
          <w:szCs w:val="22"/>
        </w:rPr>
        <w:t>. NY, USA: Oxford University Press.</w:t>
      </w:r>
    </w:p>
    <w:p w:rsidR="002F22FD" w:rsidRPr="003B0A09" w:rsidRDefault="002F22FD" w:rsidP="002F22FD">
      <w:pPr>
        <w:ind w:left="450" w:hanging="450"/>
        <w:jc w:val="both"/>
        <w:rPr>
          <w:rFonts w:ascii="Palatino Linotype" w:hAnsi="Palatino Linotype"/>
          <w:sz w:val="22"/>
          <w:szCs w:val="22"/>
        </w:rPr>
      </w:pPr>
      <w:r w:rsidRPr="003B0A09">
        <w:rPr>
          <w:rFonts w:ascii="Palatino Linotype" w:hAnsi="Palatino Linotype"/>
          <w:sz w:val="22"/>
          <w:szCs w:val="22"/>
        </w:rPr>
        <w:t>Konno, K., &amp; Ohmachi, T. (1998). Ground-</w:t>
      </w:r>
      <w:r w:rsidR="00DA6294" w:rsidRPr="003B0A09">
        <w:rPr>
          <w:rFonts w:ascii="Palatino Linotype" w:hAnsi="Palatino Linotype"/>
          <w:sz w:val="22"/>
          <w:szCs w:val="22"/>
        </w:rPr>
        <w:t>motion characteristics estimated from spectral ration between horizontal and vertical component of microtremor</w:t>
      </w:r>
      <w:r w:rsidRPr="003B0A09">
        <w:rPr>
          <w:rFonts w:ascii="Palatino Linotype" w:hAnsi="Palatino Linotype"/>
          <w:sz w:val="22"/>
          <w:szCs w:val="22"/>
        </w:rPr>
        <w:t xml:space="preserve">. </w:t>
      </w:r>
      <w:r w:rsidRPr="003B0A09">
        <w:rPr>
          <w:rFonts w:ascii="Palatino Linotype" w:hAnsi="Palatino Linotype"/>
          <w:i/>
          <w:sz w:val="22"/>
          <w:szCs w:val="22"/>
        </w:rPr>
        <w:t>Bulletin of the Seismological Society of America</w:t>
      </w:r>
      <w:r w:rsidRPr="003B0A09">
        <w:rPr>
          <w:rFonts w:ascii="Palatino Linotype" w:hAnsi="Palatino Linotype"/>
          <w:sz w:val="22"/>
          <w:szCs w:val="22"/>
        </w:rPr>
        <w:t xml:space="preserve">, </w:t>
      </w:r>
      <w:r w:rsidRPr="003B0A09">
        <w:rPr>
          <w:rFonts w:ascii="Palatino Linotype" w:hAnsi="Palatino Linotype"/>
          <w:i/>
          <w:sz w:val="22"/>
          <w:szCs w:val="22"/>
        </w:rPr>
        <w:t>88</w:t>
      </w:r>
      <w:r w:rsidRPr="003B0A09">
        <w:rPr>
          <w:rFonts w:ascii="Palatino Linotype" w:hAnsi="Palatino Linotype"/>
          <w:sz w:val="22"/>
          <w:szCs w:val="22"/>
        </w:rPr>
        <w:t>(1), 228-241.</w:t>
      </w:r>
    </w:p>
    <w:p w:rsidR="002F22FD" w:rsidRPr="003B0A09" w:rsidRDefault="002F22FD" w:rsidP="002F22FD">
      <w:pPr>
        <w:autoSpaceDE w:val="0"/>
        <w:autoSpaceDN w:val="0"/>
        <w:adjustRightInd w:val="0"/>
        <w:ind w:left="450" w:hanging="450"/>
        <w:jc w:val="both"/>
        <w:rPr>
          <w:rFonts w:ascii="Palatino Linotype" w:hAnsi="Palatino Linotype"/>
          <w:sz w:val="22"/>
          <w:szCs w:val="22"/>
        </w:rPr>
      </w:pPr>
      <w:r w:rsidRPr="003B0A09">
        <w:rPr>
          <w:rFonts w:ascii="Palatino Linotype" w:hAnsi="Palatino Linotype"/>
          <w:sz w:val="22"/>
          <w:szCs w:val="22"/>
        </w:rPr>
        <w:t xml:space="preserve">Nakamura, Y. (2000). </w:t>
      </w:r>
      <w:r w:rsidRPr="003B0A09">
        <w:rPr>
          <w:rFonts w:ascii="Palatino Linotype" w:hAnsi="Palatino Linotype"/>
          <w:i/>
          <w:sz w:val="22"/>
          <w:szCs w:val="22"/>
        </w:rPr>
        <w:t xml:space="preserve">Clear </w:t>
      </w:r>
      <w:r w:rsidR="00DA6294" w:rsidRPr="003B0A09">
        <w:rPr>
          <w:rFonts w:ascii="Palatino Linotype" w:hAnsi="Palatino Linotype"/>
          <w:i/>
          <w:sz w:val="22"/>
          <w:szCs w:val="22"/>
        </w:rPr>
        <w:t>identification of fundamental idea of nakamura’s technique and its application</w:t>
      </w:r>
      <w:r w:rsidRPr="003B0A09">
        <w:rPr>
          <w:rFonts w:ascii="Palatino Linotype" w:hAnsi="Palatino Linotype"/>
          <w:i/>
          <w:sz w:val="22"/>
          <w:szCs w:val="22"/>
        </w:rPr>
        <w:t>. The 12</w:t>
      </w:r>
      <w:r w:rsidRPr="003B0A09">
        <w:rPr>
          <w:rFonts w:ascii="Palatino Linotype" w:hAnsi="Palatino Linotype"/>
          <w:i/>
          <w:sz w:val="22"/>
          <w:szCs w:val="22"/>
          <w:vertAlign w:val="superscript"/>
        </w:rPr>
        <w:t>th</w:t>
      </w:r>
      <w:r w:rsidRPr="003B0A09">
        <w:rPr>
          <w:rFonts w:ascii="Palatino Linotype" w:hAnsi="Palatino Linotype"/>
          <w:sz w:val="22"/>
          <w:szCs w:val="22"/>
        </w:rPr>
        <w:t xml:space="preserve"> </w:t>
      </w:r>
      <w:r w:rsidRPr="003B0A09">
        <w:rPr>
          <w:rFonts w:ascii="Palatino Linotype" w:hAnsi="Palatino Linotype"/>
          <w:i/>
          <w:sz w:val="22"/>
          <w:szCs w:val="22"/>
        </w:rPr>
        <w:t>Word Conference on Earthquake Engineering</w:t>
      </w:r>
      <w:r w:rsidRPr="003B0A09">
        <w:rPr>
          <w:rFonts w:ascii="Palatino Linotype" w:hAnsi="Palatino Linotype"/>
          <w:sz w:val="22"/>
          <w:szCs w:val="22"/>
        </w:rPr>
        <w:t xml:space="preserve">. Auckland, New Zealand. </w:t>
      </w:r>
    </w:p>
    <w:p w:rsidR="002F22FD" w:rsidRPr="003B0A09" w:rsidRDefault="002F22FD" w:rsidP="002F22FD">
      <w:pPr>
        <w:ind w:left="450" w:hanging="450"/>
        <w:jc w:val="both"/>
        <w:rPr>
          <w:rFonts w:ascii="Palatino Linotype" w:hAnsi="Palatino Linotype"/>
          <w:sz w:val="22"/>
          <w:szCs w:val="22"/>
        </w:rPr>
      </w:pPr>
      <w:r w:rsidRPr="003B0A09">
        <w:rPr>
          <w:rFonts w:ascii="Palatino Linotype" w:hAnsi="Palatino Linotype"/>
          <w:sz w:val="22"/>
          <w:szCs w:val="22"/>
        </w:rPr>
        <w:t xml:space="preserve">Nakamura, Y. (2008). </w:t>
      </w:r>
      <w:r w:rsidRPr="003B0A09">
        <w:rPr>
          <w:rFonts w:ascii="Palatino Linotype" w:hAnsi="Palatino Linotype"/>
          <w:bCs/>
          <w:i/>
          <w:sz w:val="22"/>
          <w:szCs w:val="22"/>
        </w:rPr>
        <w:t xml:space="preserve">On the H/V </w:t>
      </w:r>
      <w:r w:rsidR="00A9738D" w:rsidRPr="003B0A09">
        <w:rPr>
          <w:rFonts w:ascii="Palatino Linotype" w:hAnsi="Palatino Linotype"/>
          <w:bCs/>
          <w:i/>
          <w:sz w:val="22"/>
          <w:szCs w:val="22"/>
        </w:rPr>
        <w:t>s</w:t>
      </w:r>
      <w:r w:rsidRPr="003B0A09">
        <w:rPr>
          <w:rFonts w:ascii="Palatino Linotype" w:hAnsi="Palatino Linotype"/>
          <w:bCs/>
          <w:i/>
          <w:sz w:val="22"/>
          <w:szCs w:val="22"/>
        </w:rPr>
        <w:t>pectrum</w:t>
      </w:r>
      <w:r w:rsidRPr="003B0A09">
        <w:rPr>
          <w:rFonts w:ascii="Palatino Linotype" w:hAnsi="Palatino Linotype"/>
          <w:bCs/>
          <w:sz w:val="22"/>
          <w:szCs w:val="22"/>
        </w:rPr>
        <w:t xml:space="preserve">. </w:t>
      </w:r>
      <w:r w:rsidRPr="003B0A09">
        <w:rPr>
          <w:rFonts w:ascii="Palatino Linotype" w:hAnsi="Palatino Linotype"/>
          <w:i/>
          <w:sz w:val="22"/>
          <w:szCs w:val="22"/>
        </w:rPr>
        <w:t>The 14</w:t>
      </w:r>
      <w:r w:rsidRPr="003B0A09">
        <w:rPr>
          <w:rFonts w:ascii="Palatino Linotype" w:hAnsi="Palatino Linotype"/>
          <w:i/>
          <w:sz w:val="22"/>
          <w:szCs w:val="22"/>
          <w:vertAlign w:val="superscript"/>
        </w:rPr>
        <w:t>th</w:t>
      </w:r>
      <w:r w:rsidRPr="003B0A09">
        <w:rPr>
          <w:rFonts w:ascii="Palatino Linotype" w:hAnsi="Palatino Linotype"/>
          <w:i/>
          <w:sz w:val="22"/>
          <w:szCs w:val="22"/>
        </w:rPr>
        <w:t xml:space="preserve"> World Conference on Earthquake Engineering</w:t>
      </w:r>
      <w:r w:rsidRPr="003B0A09">
        <w:rPr>
          <w:rFonts w:ascii="Palatino Linotype" w:hAnsi="Palatino Linotype"/>
          <w:sz w:val="22"/>
          <w:szCs w:val="22"/>
        </w:rPr>
        <w:t>. Beijing, China.</w:t>
      </w:r>
    </w:p>
    <w:p w:rsidR="002F22FD" w:rsidRPr="003B0A09" w:rsidRDefault="002F22FD" w:rsidP="002F22FD">
      <w:pPr>
        <w:autoSpaceDE w:val="0"/>
        <w:autoSpaceDN w:val="0"/>
        <w:adjustRightInd w:val="0"/>
        <w:ind w:left="450" w:hanging="450"/>
        <w:jc w:val="both"/>
        <w:rPr>
          <w:rFonts w:ascii="Palatino Linotype" w:hAnsi="Palatino Linotype"/>
          <w:sz w:val="22"/>
          <w:szCs w:val="22"/>
        </w:rPr>
      </w:pPr>
      <w:r w:rsidRPr="003B0A09">
        <w:rPr>
          <w:rFonts w:ascii="Palatino Linotype" w:hAnsi="Palatino Linotype"/>
          <w:sz w:val="22"/>
          <w:szCs w:val="22"/>
          <w:lang w:val="sv-SE"/>
        </w:rPr>
        <w:t xml:space="preserve">Nakamura,Y., Saita, J., &amp; Sato, T. (2003). </w:t>
      </w:r>
      <w:r w:rsidRPr="003B0A09">
        <w:rPr>
          <w:rFonts w:ascii="Palatino Linotype" w:hAnsi="Palatino Linotype"/>
          <w:i/>
          <w:sz w:val="22"/>
          <w:szCs w:val="22"/>
        </w:rPr>
        <w:t xml:space="preserve">Development of </w:t>
      </w:r>
      <w:r w:rsidR="00A9738D" w:rsidRPr="003B0A09">
        <w:rPr>
          <w:rFonts w:ascii="Palatino Linotype" w:hAnsi="Palatino Linotype"/>
          <w:i/>
          <w:sz w:val="22"/>
          <w:szCs w:val="22"/>
        </w:rPr>
        <w:t>vulnerability a</w:t>
      </w:r>
      <w:r w:rsidRPr="003B0A09">
        <w:rPr>
          <w:rFonts w:ascii="Palatino Linotype" w:hAnsi="Palatino Linotype"/>
          <w:i/>
          <w:sz w:val="22"/>
          <w:szCs w:val="22"/>
        </w:rPr>
        <w:t xml:space="preserve">ssessment </w:t>
      </w:r>
      <w:r w:rsidR="00A9738D" w:rsidRPr="003B0A09">
        <w:rPr>
          <w:rFonts w:ascii="Palatino Linotype" w:hAnsi="Palatino Linotype"/>
          <w:i/>
          <w:sz w:val="22"/>
          <w:szCs w:val="22"/>
        </w:rPr>
        <w:t>models using microtremor/strong motion</w:t>
      </w:r>
      <w:r w:rsidRPr="003B0A09">
        <w:rPr>
          <w:rFonts w:ascii="Palatino Linotype" w:hAnsi="Palatino Linotype"/>
          <w:sz w:val="22"/>
          <w:szCs w:val="22"/>
        </w:rPr>
        <w:t xml:space="preserve">. </w:t>
      </w:r>
      <w:r w:rsidRPr="003B0A09">
        <w:rPr>
          <w:rFonts w:ascii="Palatino Linotype" w:hAnsi="Palatino Linotype"/>
          <w:i/>
          <w:sz w:val="22"/>
          <w:szCs w:val="22"/>
        </w:rPr>
        <w:t>Prepared for 6</w:t>
      </w:r>
      <w:r w:rsidRPr="003B0A09">
        <w:rPr>
          <w:rFonts w:ascii="Palatino Linotype" w:hAnsi="Palatino Linotype"/>
          <w:i/>
          <w:sz w:val="22"/>
          <w:szCs w:val="22"/>
          <w:vertAlign w:val="superscript"/>
        </w:rPr>
        <w:t>th</w:t>
      </w:r>
      <w:r w:rsidRPr="003B0A09">
        <w:rPr>
          <w:rFonts w:ascii="Palatino Linotype" w:hAnsi="Palatino Linotype"/>
          <w:i/>
          <w:sz w:val="22"/>
          <w:szCs w:val="22"/>
        </w:rPr>
        <w:t xml:space="preserve"> EQTAP Workshop in Kashikojima</w:t>
      </w:r>
      <w:r w:rsidRPr="003B0A09">
        <w:rPr>
          <w:rFonts w:ascii="Palatino Linotype" w:hAnsi="Palatino Linotype"/>
          <w:sz w:val="22"/>
          <w:szCs w:val="22"/>
        </w:rPr>
        <w:t>, Japan.</w:t>
      </w:r>
    </w:p>
    <w:p w:rsidR="002F22FD" w:rsidRPr="003B0A09" w:rsidRDefault="002F22FD" w:rsidP="002F22FD">
      <w:pPr>
        <w:ind w:left="450" w:hanging="450"/>
        <w:jc w:val="both"/>
        <w:rPr>
          <w:rFonts w:ascii="Palatino Linotype" w:hAnsi="Palatino Linotype"/>
          <w:noProof/>
          <w:sz w:val="22"/>
          <w:szCs w:val="22"/>
        </w:rPr>
      </w:pPr>
      <w:r w:rsidRPr="003B0A09">
        <w:rPr>
          <w:rFonts w:ascii="Palatino Linotype" w:hAnsi="Palatino Linotype"/>
          <w:noProof/>
          <w:sz w:val="22"/>
          <w:szCs w:val="22"/>
        </w:rPr>
        <w:t xml:space="preserve">Nepop, R.K. &amp; Agatova, A.R. (2008). Estimating </w:t>
      </w:r>
      <w:r w:rsidR="000B7C2F" w:rsidRPr="003B0A09">
        <w:rPr>
          <w:rFonts w:ascii="Palatino Linotype" w:hAnsi="Palatino Linotype"/>
          <w:noProof/>
          <w:sz w:val="22"/>
          <w:szCs w:val="22"/>
        </w:rPr>
        <w:t>magnitudes of prehistoric earthquakes from landslide data</w:t>
      </w:r>
      <w:r w:rsidR="00760406">
        <w:rPr>
          <w:rFonts w:ascii="Palatino Linotype" w:hAnsi="Palatino Linotype"/>
          <w:noProof/>
          <w:sz w:val="22"/>
          <w:szCs w:val="22"/>
        </w:rPr>
        <w:t>: first experience in Southern A</w:t>
      </w:r>
      <w:r w:rsidR="000B7C2F" w:rsidRPr="003B0A09">
        <w:rPr>
          <w:rFonts w:ascii="Palatino Linotype" w:hAnsi="Palatino Linotype"/>
          <w:noProof/>
          <w:sz w:val="22"/>
          <w:szCs w:val="22"/>
        </w:rPr>
        <w:t>ltai</w:t>
      </w:r>
      <w:r w:rsidRPr="003B0A09">
        <w:rPr>
          <w:rFonts w:ascii="Palatino Linotype" w:hAnsi="Palatino Linotype"/>
          <w:noProof/>
          <w:sz w:val="22"/>
          <w:szCs w:val="22"/>
        </w:rPr>
        <w:t xml:space="preserve">. </w:t>
      </w:r>
      <w:r w:rsidRPr="003B0A09">
        <w:rPr>
          <w:rFonts w:ascii="Palatino Linotype" w:hAnsi="Palatino Linotype"/>
          <w:i/>
          <w:noProof/>
          <w:sz w:val="22"/>
          <w:szCs w:val="22"/>
        </w:rPr>
        <w:t>Russian Geology and Geophysics</w:t>
      </w:r>
      <w:r w:rsidRPr="003B0A09">
        <w:rPr>
          <w:rFonts w:ascii="Palatino Linotype" w:hAnsi="Palatino Linotype"/>
          <w:noProof/>
          <w:sz w:val="22"/>
          <w:szCs w:val="22"/>
        </w:rPr>
        <w:t xml:space="preserve">, </w:t>
      </w:r>
      <w:r w:rsidRPr="003B0A09">
        <w:rPr>
          <w:rFonts w:ascii="Palatino Linotype" w:hAnsi="Palatino Linotype"/>
          <w:i/>
          <w:noProof/>
          <w:sz w:val="22"/>
          <w:szCs w:val="22"/>
        </w:rPr>
        <w:t>49</w:t>
      </w:r>
      <w:r w:rsidRPr="003B0A09">
        <w:rPr>
          <w:rFonts w:ascii="Palatino Linotype" w:hAnsi="Palatino Linotype"/>
          <w:noProof/>
          <w:sz w:val="22"/>
          <w:szCs w:val="22"/>
        </w:rPr>
        <w:t xml:space="preserve">(2008), 144-151. </w:t>
      </w:r>
    </w:p>
    <w:p w:rsidR="002F22FD" w:rsidRPr="003B0A09" w:rsidRDefault="002F22FD" w:rsidP="002F22FD">
      <w:pPr>
        <w:ind w:left="450" w:hanging="450"/>
        <w:jc w:val="both"/>
        <w:rPr>
          <w:rFonts w:ascii="Palatino Linotype" w:hAnsi="Palatino Linotype"/>
          <w:sz w:val="22"/>
          <w:szCs w:val="22"/>
        </w:rPr>
      </w:pPr>
      <w:r w:rsidRPr="003B0A09">
        <w:rPr>
          <w:rFonts w:ascii="Palatino Linotype" w:hAnsi="Palatino Linotype"/>
          <w:sz w:val="22"/>
          <w:szCs w:val="22"/>
        </w:rPr>
        <w:t xml:space="preserve">Oliveira, C.S., Roca, A., &amp; Goula, X. (2008). </w:t>
      </w:r>
      <w:r w:rsidRPr="003B0A09">
        <w:rPr>
          <w:rFonts w:ascii="Palatino Linotype" w:hAnsi="Palatino Linotype"/>
          <w:i/>
          <w:sz w:val="22"/>
          <w:szCs w:val="22"/>
        </w:rPr>
        <w:t xml:space="preserve">Assessing and </w:t>
      </w:r>
      <w:r w:rsidR="008F67A7" w:rsidRPr="003B0A09">
        <w:rPr>
          <w:rFonts w:ascii="Palatino Linotype" w:hAnsi="Palatino Linotype"/>
          <w:i/>
          <w:sz w:val="22"/>
          <w:szCs w:val="22"/>
        </w:rPr>
        <w:t>managing earthquake risk (geo-scientific and engineering knowledge for earthquake risk mitigation: developments, tools, technique</w:t>
      </w:r>
      <w:r w:rsidRPr="003B0A09">
        <w:rPr>
          <w:rFonts w:ascii="Palatino Linotype" w:hAnsi="Palatino Linotype"/>
          <w:i/>
          <w:sz w:val="22"/>
          <w:szCs w:val="22"/>
        </w:rPr>
        <w:t>s)</w:t>
      </w:r>
      <w:r w:rsidRPr="003B0A09">
        <w:rPr>
          <w:rFonts w:ascii="Palatino Linotype" w:hAnsi="Palatino Linotype"/>
          <w:sz w:val="22"/>
          <w:szCs w:val="22"/>
        </w:rPr>
        <w:t>. The Netherlands: Springer.</w:t>
      </w:r>
    </w:p>
    <w:p w:rsidR="002F22FD" w:rsidRPr="003B0A09" w:rsidRDefault="002F22FD" w:rsidP="002F22FD">
      <w:pPr>
        <w:ind w:left="450" w:hanging="450"/>
        <w:jc w:val="both"/>
        <w:rPr>
          <w:rFonts w:ascii="Palatino Linotype" w:hAnsi="Palatino Linotype"/>
          <w:sz w:val="22"/>
          <w:szCs w:val="22"/>
        </w:rPr>
      </w:pPr>
      <w:r w:rsidRPr="003B0A09">
        <w:rPr>
          <w:rFonts w:ascii="Palatino Linotype" w:hAnsi="Palatino Linotype"/>
          <w:sz w:val="22"/>
          <w:szCs w:val="22"/>
        </w:rPr>
        <w:t xml:space="preserve">PASI. (2013). </w:t>
      </w:r>
      <w:r w:rsidRPr="003B0A09">
        <w:rPr>
          <w:rFonts w:ascii="Palatino Linotype" w:hAnsi="Palatino Linotype"/>
          <w:bCs/>
          <w:i/>
          <w:sz w:val="22"/>
          <w:szCs w:val="22"/>
        </w:rPr>
        <w:t>HVSR data acquisition unit GEMINI-2</w:t>
      </w:r>
      <w:r w:rsidRPr="003B0A09">
        <w:rPr>
          <w:rFonts w:ascii="Palatino Linotype" w:hAnsi="Palatino Linotype"/>
          <w:i/>
          <w:sz w:val="22"/>
          <w:szCs w:val="22"/>
        </w:rPr>
        <w:t xml:space="preserve"> user manual</w:t>
      </w:r>
      <w:r w:rsidRPr="003B0A09">
        <w:rPr>
          <w:rFonts w:ascii="Palatino Linotype" w:hAnsi="Palatino Linotype"/>
          <w:sz w:val="22"/>
          <w:szCs w:val="22"/>
        </w:rPr>
        <w:t>. Torino, Italy: PASI.</w:t>
      </w:r>
    </w:p>
    <w:p w:rsidR="002F22FD" w:rsidRPr="0007332F" w:rsidRDefault="002F22FD" w:rsidP="002F22FD">
      <w:pPr>
        <w:ind w:left="450" w:hanging="450"/>
        <w:jc w:val="both"/>
        <w:rPr>
          <w:rFonts w:ascii="Palatino Linotype" w:hAnsi="Palatino Linotype"/>
          <w:sz w:val="22"/>
          <w:szCs w:val="22"/>
        </w:rPr>
      </w:pPr>
      <w:r w:rsidRPr="003B0A09">
        <w:rPr>
          <w:rFonts w:ascii="Palatino Linotype" w:hAnsi="Palatino Linotype"/>
          <w:iCs/>
          <w:sz w:val="22"/>
          <w:szCs w:val="22"/>
        </w:rPr>
        <w:t xml:space="preserve">Petersen, M.D., </w:t>
      </w:r>
      <w:r w:rsidRPr="003B0A09">
        <w:rPr>
          <w:rFonts w:ascii="Palatino Linotype" w:hAnsi="Palatino Linotype"/>
          <w:sz w:val="22"/>
          <w:szCs w:val="22"/>
        </w:rPr>
        <w:t>Dewey, J., Hartzel, S.,</w:t>
      </w:r>
      <w:r w:rsidRPr="003B0A09">
        <w:rPr>
          <w:rFonts w:ascii="Palatino Linotype" w:hAnsi="Palatino Linotype"/>
          <w:iCs/>
          <w:sz w:val="22"/>
          <w:szCs w:val="22"/>
        </w:rPr>
        <w:t xml:space="preserve"> </w:t>
      </w:r>
      <w:r w:rsidRPr="003B0A09">
        <w:rPr>
          <w:rFonts w:ascii="Palatino Linotype" w:hAnsi="Palatino Linotype"/>
          <w:sz w:val="22"/>
          <w:szCs w:val="22"/>
        </w:rPr>
        <w:t>Mueller, C., Harmsen, S., Frankel, A.D., &amp; Rukstales, K. (</w:t>
      </w:r>
      <w:r w:rsidRPr="003B0A09">
        <w:rPr>
          <w:rFonts w:ascii="Palatino Linotype" w:hAnsi="Palatino Linotype"/>
          <w:iCs/>
          <w:sz w:val="22"/>
          <w:szCs w:val="22"/>
        </w:rPr>
        <w:t xml:space="preserve">2004). Probabilistic </w:t>
      </w:r>
      <w:r w:rsidR="00233C29">
        <w:rPr>
          <w:rFonts w:ascii="Palatino Linotype" w:hAnsi="Palatino Linotype"/>
          <w:iCs/>
          <w:sz w:val="22"/>
          <w:szCs w:val="22"/>
        </w:rPr>
        <w:t>seismic hazard analysis for Sumatra, I</w:t>
      </w:r>
      <w:r w:rsidR="00233C29" w:rsidRPr="003B0A09">
        <w:rPr>
          <w:rFonts w:ascii="Palatino Linotype" w:hAnsi="Palatino Linotype"/>
          <w:iCs/>
          <w:sz w:val="22"/>
          <w:szCs w:val="22"/>
        </w:rPr>
        <w:t>ndonesia and across the</w:t>
      </w:r>
      <w:r w:rsidRPr="003B0A09">
        <w:rPr>
          <w:rFonts w:ascii="Palatino Linotype" w:hAnsi="Palatino Linotype"/>
          <w:iCs/>
          <w:sz w:val="22"/>
          <w:szCs w:val="22"/>
        </w:rPr>
        <w:t xml:space="preserve"> Southern Malaysian Peninsula. </w:t>
      </w:r>
      <w:r w:rsidRPr="003B0A09">
        <w:rPr>
          <w:rFonts w:ascii="Palatino Linotype" w:hAnsi="Palatino Linotype"/>
          <w:i/>
          <w:iCs/>
          <w:sz w:val="22"/>
          <w:szCs w:val="22"/>
        </w:rPr>
        <w:t>Tectonophysics</w:t>
      </w:r>
      <w:r w:rsidRPr="003B0A09">
        <w:rPr>
          <w:rFonts w:ascii="Palatino Linotype" w:hAnsi="Palatino Linotype"/>
          <w:iCs/>
          <w:sz w:val="22"/>
          <w:szCs w:val="22"/>
        </w:rPr>
        <w:t xml:space="preserve">, </w:t>
      </w:r>
      <w:r w:rsidRPr="003B0A09">
        <w:rPr>
          <w:rFonts w:ascii="Palatino Linotype" w:hAnsi="Palatino Linotype"/>
          <w:i/>
          <w:iCs/>
          <w:sz w:val="22"/>
          <w:szCs w:val="22"/>
        </w:rPr>
        <w:t>390</w:t>
      </w:r>
      <w:r w:rsidRPr="003B0A09">
        <w:rPr>
          <w:rFonts w:ascii="Palatino Linotype" w:hAnsi="Palatino Linotype"/>
          <w:iCs/>
          <w:sz w:val="22"/>
          <w:szCs w:val="22"/>
        </w:rPr>
        <w:t>(1-4), 141-</w:t>
      </w:r>
      <w:r w:rsidRPr="0007332F">
        <w:rPr>
          <w:rFonts w:ascii="Palatino Linotype" w:hAnsi="Palatino Linotype"/>
          <w:iCs/>
          <w:sz w:val="22"/>
          <w:szCs w:val="22"/>
        </w:rPr>
        <w:t xml:space="preserve">158. </w:t>
      </w:r>
      <w:hyperlink r:id="rId32" w:history="1">
        <w:r w:rsidR="0007332F" w:rsidRPr="0007332F">
          <w:rPr>
            <w:rStyle w:val="Hyperlink"/>
            <w:rFonts w:ascii="Palatino Linotype" w:hAnsi="Palatino Linotype"/>
            <w:color w:val="auto"/>
            <w:sz w:val="22"/>
            <w:szCs w:val="22"/>
            <w:u w:val="none"/>
          </w:rPr>
          <w:t>https://doi.org/10.1016/j.tecto.2004.03.</w:t>
        </w:r>
        <w:r w:rsidR="0007332F" w:rsidRPr="0007332F">
          <w:rPr>
            <w:rStyle w:val="Hyperlink"/>
            <w:rFonts w:ascii="Palatino Linotype" w:hAnsi="Palatino Linotype"/>
            <w:color w:val="auto"/>
            <w:sz w:val="22"/>
            <w:szCs w:val="22"/>
            <w:u w:val="none"/>
            <w:lang w:val="en-US"/>
          </w:rPr>
          <w:t xml:space="preserve"> </w:t>
        </w:r>
        <w:r w:rsidR="0007332F" w:rsidRPr="0007332F">
          <w:rPr>
            <w:rStyle w:val="Hyperlink"/>
            <w:rFonts w:ascii="Palatino Linotype" w:hAnsi="Palatino Linotype"/>
            <w:color w:val="auto"/>
            <w:sz w:val="22"/>
            <w:szCs w:val="22"/>
            <w:u w:val="none"/>
          </w:rPr>
          <w:t>026</w:t>
        </w:r>
      </w:hyperlink>
      <w:r w:rsidRPr="0007332F">
        <w:rPr>
          <w:rFonts w:ascii="Palatino Linotype" w:hAnsi="Palatino Linotype"/>
          <w:sz w:val="22"/>
          <w:szCs w:val="22"/>
        </w:rPr>
        <w:t>.</w:t>
      </w:r>
    </w:p>
    <w:p w:rsidR="002F22FD" w:rsidRPr="008F4FF4" w:rsidRDefault="002F22FD" w:rsidP="002F22FD">
      <w:pPr>
        <w:ind w:left="450" w:hanging="450"/>
        <w:jc w:val="both"/>
        <w:rPr>
          <w:rFonts w:ascii="Palatino Linotype" w:hAnsi="Palatino Linotype"/>
          <w:sz w:val="22"/>
          <w:szCs w:val="22"/>
        </w:rPr>
      </w:pPr>
      <w:r w:rsidRPr="003B0A09">
        <w:rPr>
          <w:rFonts w:ascii="Palatino Linotype" w:hAnsi="Palatino Linotype"/>
          <w:sz w:val="22"/>
          <w:szCs w:val="22"/>
        </w:rPr>
        <w:t xml:space="preserve">SESAME. (2004). </w:t>
      </w:r>
      <w:r w:rsidRPr="003B0A09">
        <w:rPr>
          <w:rFonts w:ascii="Palatino Linotype" w:hAnsi="Palatino Linotype"/>
          <w:i/>
          <w:iCs/>
          <w:sz w:val="22"/>
          <w:szCs w:val="22"/>
        </w:rPr>
        <w:t xml:space="preserve">Guidelines for the Implementation of the H/V </w:t>
      </w:r>
      <w:r w:rsidR="008F4FF4" w:rsidRPr="003B0A09">
        <w:rPr>
          <w:rFonts w:ascii="Palatino Linotype" w:hAnsi="Palatino Linotype"/>
          <w:i/>
          <w:iCs/>
          <w:sz w:val="22"/>
          <w:szCs w:val="22"/>
        </w:rPr>
        <w:t>spectral ratio technique on ambient vibrations: measurements, processing and interpretation</w:t>
      </w:r>
      <w:r w:rsidRPr="003B0A09">
        <w:rPr>
          <w:rFonts w:ascii="Palatino Linotype" w:hAnsi="Palatino Linotype"/>
          <w:iCs/>
          <w:sz w:val="22"/>
          <w:szCs w:val="22"/>
        </w:rPr>
        <w:t xml:space="preserve">. </w:t>
      </w:r>
      <w:r w:rsidRPr="003B0A09">
        <w:rPr>
          <w:rFonts w:ascii="Palatino Linotype" w:hAnsi="Palatino Linotype"/>
          <w:sz w:val="22"/>
          <w:szCs w:val="22"/>
        </w:rPr>
        <w:t>Brussels, Belgium:</w:t>
      </w:r>
      <w:r w:rsidRPr="003B0A09">
        <w:rPr>
          <w:rFonts w:ascii="Palatino Linotype" w:hAnsi="Palatino Linotype"/>
          <w:iCs/>
          <w:sz w:val="22"/>
          <w:szCs w:val="22"/>
        </w:rPr>
        <w:t xml:space="preserve"> </w:t>
      </w:r>
      <w:r w:rsidRPr="003B0A09">
        <w:rPr>
          <w:rFonts w:ascii="Palatino Linotype" w:hAnsi="Palatino Linotype"/>
          <w:sz w:val="22"/>
          <w:szCs w:val="22"/>
        </w:rPr>
        <w:t>European Commi</w:t>
      </w:r>
      <w:r w:rsidR="008F4FF4">
        <w:rPr>
          <w:rFonts w:ascii="Palatino Linotype" w:hAnsi="Palatino Linotype"/>
          <w:sz w:val="22"/>
          <w:szCs w:val="22"/>
          <w:lang w:val="en-US"/>
        </w:rPr>
        <w:t>-</w:t>
      </w:r>
      <w:r w:rsidRPr="003B0A09">
        <w:rPr>
          <w:rFonts w:ascii="Palatino Linotype" w:hAnsi="Palatino Linotype"/>
          <w:sz w:val="22"/>
          <w:szCs w:val="22"/>
        </w:rPr>
        <w:t>ssion-Research General Directorate, Project No. EVG1-CT-2000-00026 SESA</w:t>
      </w:r>
      <w:r w:rsidR="008F4FF4">
        <w:rPr>
          <w:rFonts w:ascii="Palatino Linotype" w:hAnsi="Palatino Linotype"/>
          <w:sz w:val="22"/>
          <w:szCs w:val="22"/>
          <w:lang w:val="en-US"/>
        </w:rPr>
        <w:t>-</w:t>
      </w:r>
      <w:r w:rsidRPr="003B0A09">
        <w:rPr>
          <w:rFonts w:ascii="Palatino Linotype" w:hAnsi="Palatino Linotype"/>
          <w:sz w:val="22"/>
          <w:szCs w:val="22"/>
        </w:rPr>
        <w:t>ME.</w:t>
      </w:r>
      <w:r w:rsidR="008F4FF4">
        <w:rPr>
          <w:rFonts w:ascii="Palatino Linotype" w:hAnsi="Palatino Linotype"/>
          <w:sz w:val="22"/>
          <w:szCs w:val="22"/>
          <w:lang w:val="en-US"/>
        </w:rPr>
        <w:t xml:space="preserve"> </w:t>
      </w:r>
      <w:hyperlink r:id="rId33" w:history="1">
        <w:r w:rsidR="008F4FF4" w:rsidRPr="008F4FF4">
          <w:rPr>
            <w:rStyle w:val="Hyperlink"/>
            <w:rFonts w:ascii="Palatino Linotype" w:hAnsi="Palatino Linotype"/>
            <w:color w:val="auto"/>
            <w:sz w:val="22"/>
            <w:szCs w:val="22"/>
            <w:u w:val="none"/>
          </w:rPr>
          <w:t>ftp://ftp.geo.uib.no/pub/seismo/SO</w:t>
        </w:r>
        <w:r w:rsidR="008F4FF4" w:rsidRPr="008F4FF4">
          <w:rPr>
            <w:rStyle w:val="Hyperlink"/>
            <w:rFonts w:ascii="Palatino Linotype" w:hAnsi="Palatino Linotype"/>
            <w:color w:val="auto"/>
            <w:sz w:val="22"/>
            <w:szCs w:val="22"/>
            <w:u w:val="none"/>
            <w:lang w:val="en-US"/>
          </w:rPr>
          <w:t>-</w:t>
        </w:r>
        <w:r w:rsidR="008F4FF4" w:rsidRPr="008F4FF4">
          <w:rPr>
            <w:rStyle w:val="Hyperlink"/>
            <w:rFonts w:ascii="Palatino Linotype" w:hAnsi="Palatino Linotype"/>
            <w:color w:val="auto"/>
            <w:sz w:val="22"/>
            <w:szCs w:val="22"/>
            <w:u w:val="none"/>
          </w:rPr>
          <w:t>FTWARE/SESAME/USERGUIDELINES/</w:t>
        </w:r>
        <w:r w:rsidR="008F4FF4" w:rsidRPr="008F4FF4">
          <w:rPr>
            <w:rStyle w:val="Hyperlink"/>
            <w:rFonts w:ascii="Palatino Linotype" w:hAnsi="Palatino Linotype"/>
            <w:color w:val="auto"/>
            <w:sz w:val="22"/>
            <w:szCs w:val="22"/>
            <w:u w:val="none"/>
            <w:lang w:val="en-US"/>
          </w:rPr>
          <w:t xml:space="preserve"> </w:t>
        </w:r>
        <w:r w:rsidR="008F4FF4" w:rsidRPr="008F4FF4">
          <w:rPr>
            <w:rStyle w:val="Hyperlink"/>
            <w:rFonts w:ascii="Palatino Linotype" w:hAnsi="Palatino Linotype"/>
            <w:color w:val="auto"/>
            <w:sz w:val="22"/>
            <w:szCs w:val="22"/>
            <w:u w:val="none"/>
          </w:rPr>
          <w:t>SESAME-HV-User-Guidelines.pdf</w:t>
        </w:r>
      </w:hyperlink>
      <w:r w:rsidRPr="008F4FF4">
        <w:rPr>
          <w:rFonts w:ascii="Palatino Linotype" w:hAnsi="Palatino Linotype"/>
          <w:sz w:val="22"/>
          <w:szCs w:val="22"/>
        </w:rPr>
        <w:t>.</w:t>
      </w:r>
    </w:p>
    <w:p w:rsidR="002F22FD" w:rsidRPr="003B0A09" w:rsidRDefault="002F22FD" w:rsidP="002F22FD">
      <w:pPr>
        <w:autoSpaceDE w:val="0"/>
        <w:autoSpaceDN w:val="0"/>
        <w:adjustRightInd w:val="0"/>
        <w:ind w:left="450" w:hanging="450"/>
        <w:jc w:val="both"/>
        <w:rPr>
          <w:rFonts w:ascii="Palatino Linotype" w:hAnsi="Palatino Linotype"/>
          <w:sz w:val="22"/>
          <w:szCs w:val="22"/>
        </w:rPr>
      </w:pPr>
      <w:r w:rsidRPr="003B0A09">
        <w:rPr>
          <w:rFonts w:ascii="Palatino Linotype" w:hAnsi="Palatino Linotype"/>
          <w:sz w:val="22"/>
          <w:szCs w:val="22"/>
        </w:rPr>
        <w:t xml:space="preserve">SNI. (2012). </w:t>
      </w:r>
      <w:r w:rsidRPr="003B0A09">
        <w:rPr>
          <w:rFonts w:ascii="Palatino Linotype" w:hAnsi="Palatino Linotype"/>
          <w:i/>
          <w:sz w:val="22"/>
          <w:szCs w:val="22"/>
        </w:rPr>
        <w:t xml:space="preserve">Tata </w:t>
      </w:r>
      <w:r w:rsidR="008F4FF4" w:rsidRPr="003B0A09">
        <w:rPr>
          <w:rFonts w:ascii="Palatino Linotype" w:hAnsi="Palatino Linotype"/>
          <w:i/>
          <w:sz w:val="22"/>
          <w:szCs w:val="22"/>
        </w:rPr>
        <w:t>cara perencanaan ketahanan gempa untuk struktur bangunan gedung dan non gedung, badan standardisasi nasional</w:t>
      </w:r>
      <w:r w:rsidRPr="003B0A09">
        <w:rPr>
          <w:rFonts w:ascii="Palatino Linotype" w:hAnsi="Palatino Linotype"/>
          <w:i/>
          <w:sz w:val="22"/>
          <w:szCs w:val="22"/>
        </w:rPr>
        <w:t xml:space="preserve"> </w:t>
      </w:r>
      <w:r w:rsidRPr="003B0A09">
        <w:rPr>
          <w:rFonts w:ascii="Palatino Linotype" w:hAnsi="Palatino Linotype"/>
          <w:i/>
          <w:sz w:val="22"/>
          <w:szCs w:val="22"/>
        </w:rPr>
        <w:lastRenderedPageBreak/>
        <w:t>(SNI 1726:2012)</w:t>
      </w:r>
      <w:r w:rsidRPr="003B0A09">
        <w:rPr>
          <w:rFonts w:ascii="Palatino Linotype" w:hAnsi="Palatino Linotype"/>
          <w:sz w:val="22"/>
          <w:szCs w:val="22"/>
        </w:rPr>
        <w:t xml:space="preserve">. Jakarta: Badan Standardisasi Nasional. </w:t>
      </w:r>
    </w:p>
    <w:p w:rsidR="002F22FD" w:rsidRPr="003B0A09" w:rsidRDefault="002F22FD" w:rsidP="002F22FD">
      <w:pPr>
        <w:ind w:left="450" w:hanging="450"/>
        <w:jc w:val="both"/>
        <w:rPr>
          <w:rFonts w:ascii="Palatino Linotype" w:hAnsi="Palatino Linotype"/>
          <w:sz w:val="22"/>
          <w:szCs w:val="22"/>
        </w:rPr>
      </w:pPr>
      <w:r w:rsidRPr="003B0A09">
        <w:rPr>
          <w:rFonts w:ascii="Palatino Linotype" w:hAnsi="Palatino Linotype"/>
          <w:sz w:val="22"/>
          <w:szCs w:val="22"/>
        </w:rPr>
        <w:t xml:space="preserve">Sugianto, N., Farid, M., &amp; Suryanto, W. (2016). Local </w:t>
      </w:r>
      <w:r w:rsidR="008F4FF4" w:rsidRPr="003B0A09">
        <w:rPr>
          <w:rFonts w:ascii="Palatino Linotype" w:hAnsi="Palatino Linotype"/>
          <w:sz w:val="22"/>
          <w:szCs w:val="22"/>
        </w:rPr>
        <w:t xml:space="preserve">geology condition </w:t>
      </w:r>
      <w:r w:rsidRPr="003B0A09">
        <w:rPr>
          <w:rFonts w:ascii="Palatino Linotype" w:hAnsi="Palatino Linotype"/>
          <w:sz w:val="22"/>
          <w:szCs w:val="22"/>
        </w:rPr>
        <w:t xml:space="preserve">of Bengkulu City </w:t>
      </w:r>
      <w:r w:rsidR="008F4FF4" w:rsidRPr="003B0A09">
        <w:rPr>
          <w:rFonts w:ascii="Palatino Linotype" w:hAnsi="Palatino Linotype"/>
          <w:sz w:val="22"/>
          <w:szCs w:val="22"/>
        </w:rPr>
        <w:t xml:space="preserve">based on seismic vulnerability index </w:t>
      </w:r>
      <w:r w:rsidRPr="003B0A09">
        <w:rPr>
          <w:rFonts w:ascii="Palatino Linotype" w:hAnsi="Palatino Linotype"/>
          <w:sz w:val="22"/>
          <w:szCs w:val="22"/>
        </w:rPr>
        <w:t xml:space="preserve">(Kg). </w:t>
      </w:r>
      <w:r w:rsidRPr="003B0A09">
        <w:rPr>
          <w:rFonts w:ascii="Palatino Linotype" w:hAnsi="Palatino Linotype"/>
          <w:i/>
          <w:sz w:val="22"/>
          <w:szCs w:val="22"/>
        </w:rPr>
        <w:t>ARPN Journal of Engineering and Applied Sciences</w:t>
      </w:r>
      <w:r w:rsidRPr="003B0A09">
        <w:rPr>
          <w:rFonts w:ascii="Palatino Linotype" w:hAnsi="Palatino Linotype"/>
          <w:sz w:val="22"/>
          <w:szCs w:val="22"/>
        </w:rPr>
        <w:t xml:space="preserve">, </w:t>
      </w:r>
      <w:r w:rsidRPr="003B0A09">
        <w:rPr>
          <w:rFonts w:ascii="Palatino Linotype" w:hAnsi="Palatino Linotype"/>
          <w:i/>
          <w:sz w:val="22"/>
          <w:szCs w:val="22"/>
        </w:rPr>
        <w:t>11</w:t>
      </w:r>
      <w:r w:rsidRPr="003B0A09">
        <w:rPr>
          <w:rFonts w:ascii="Palatino Linotype" w:hAnsi="Palatino Linotype"/>
          <w:sz w:val="22"/>
          <w:szCs w:val="22"/>
        </w:rPr>
        <w:t xml:space="preserve">(7), 4797-4803. </w:t>
      </w:r>
    </w:p>
    <w:p w:rsidR="002F22FD" w:rsidRPr="003B0A09" w:rsidRDefault="002F22FD" w:rsidP="002F22FD">
      <w:pPr>
        <w:ind w:left="450" w:hanging="450"/>
        <w:jc w:val="both"/>
        <w:rPr>
          <w:rFonts w:ascii="Palatino Linotype" w:hAnsi="Palatino Linotype"/>
          <w:bCs/>
          <w:sz w:val="22"/>
          <w:szCs w:val="22"/>
        </w:rPr>
      </w:pPr>
      <w:r w:rsidRPr="003B0A09">
        <w:rPr>
          <w:rFonts w:ascii="Palatino Linotype" w:hAnsi="Palatino Linotype"/>
          <w:sz w:val="22"/>
          <w:szCs w:val="22"/>
        </w:rPr>
        <w:t xml:space="preserve">UBC. (1997). </w:t>
      </w:r>
      <w:r w:rsidRPr="003B0A09">
        <w:rPr>
          <w:rFonts w:ascii="Palatino Linotype" w:hAnsi="Palatino Linotype"/>
          <w:bCs/>
          <w:i/>
          <w:sz w:val="22"/>
          <w:szCs w:val="22"/>
        </w:rPr>
        <w:t xml:space="preserve">Structural </w:t>
      </w:r>
      <w:r w:rsidR="008F4FF4" w:rsidRPr="003B0A09">
        <w:rPr>
          <w:rFonts w:ascii="Palatino Linotype" w:hAnsi="Palatino Linotype"/>
          <w:bCs/>
          <w:i/>
          <w:sz w:val="22"/>
          <w:szCs w:val="22"/>
        </w:rPr>
        <w:t xml:space="preserve">design requirements, </w:t>
      </w:r>
      <w:r w:rsidR="008F4FF4" w:rsidRPr="003B0A09">
        <w:rPr>
          <w:rFonts w:ascii="Palatino Linotype" w:hAnsi="Palatino Linotype"/>
          <w:i/>
          <w:sz w:val="22"/>
          <w:szCs w:val="22"/>
        </w:rPr>
        <w:t>uniform building code</w:t>
      </w:r>
      <w:r w:rsidR="008F4FF4" w:rsidRPr="003B0A09">
        <w:rPr>
          <w:rFonts w:ascii="Palatino Linotype" w:hAnsi="Palatino Linotype"/>
          <w:bCs/>
          <w:sz w:val="22"/>
          <w:szCs w:val="22"/>
        </w:rPr>
        <w:t xml:space="preserve">, </w:t>
      </w:r>
      <w:r w:rsidR="008F4FF4" w:rsidRPr="003B0A09">
        <w:rPr>
          <w:rFonts w:ascii="Palatino Linotype" w:hAnsi="Palatino Linotype"/>
          <w:bCs/>
          <w:i/>
          <w:sz w:val="22"/>
          <w:szCs w:val="22"/>
        </w:rPr>
        <w:t xml:space="preserve">volume </w:t>
      </w:r>
      <w:r w:rsidRPr="003B0A09">
        <w:rPr>
          <w:rFonts w:ascii="Palatino Linotype" w:hAnsi="Palatino Linotype"/>
          <w:bCs/>
          <w:i/>
          <w:sz w:val="22"/>
          <w:szCs w:val="22"/>
        </w:rPr>
        <w:t>1</w:t>
      </w:r>
      <w:r w:rsidRPr="003B0A09">
        <w:rPr>
          <w:rFonts w:ascii="Palatino Linotype" w:hAnsi="Palatino Linotype"/>
          <w:bCs/>
          <w:sz w:val="22"/>
          <w:szCs w:val="22"/>
        </w:rPr>
        <w:t xml:space="preserve">. Whittier, California:  </w:t>
      </w:r>
      <w:r w:rsidRPr="003B0A09">
        <w:rPr>
          <w:rFonts w:ascii="Palatino Linotype" w:hAnsi="Palatino Linotype"/>
          <w:sz w:val="22"/>
          <w:szCs w:val="22"/>
        </w:rPr>
        <w:t>International Conference of Building Officials.</w:t>
      </w:r>
    </w:p>
    <w:p w:rsidR="002F22FD" w:rsidRPr="0007332F" w:rsidRDefault="002F22FD" w:rsidP="002F22FD">
      <w:pPr>
        <w:autoSpaceDE w:val="0"/>
        <w:autoSpaceDN w:val="0"/>
        <w:adjustRightInd w:val="0"/>
        <w:ind w:left="450" w:hanging="450"/>
        <w:jc w:val="both"/>
        <w:rPr>
          <w:rFonts w:ascii="Palatino Linotype" w:hAnsi="Palatino Linotype"/>
          <w:sz w:val="22"/>
          <w:szCs w:val="22"/>
        </w:rPr>
      </w:pPr>
      <w:r w:rsidRPr="003B0A09">
        <w:rPr>
          <w:rFonts w:ascii="Palatino Linotype" w:hAnsi="Palatino Linotype"/>
          <w:sz w:val="22"/>
          <w:szCs w:val="22"/>
        </w:rPr>
        <w:t xml:space="preserve">Wald, D.J., Quitoriano, V., Heaton, T.H., &amp; Kanamori, H. (1999). Relationships </w:t>
      </w:r>
      <w:r w:rsidR="008F4FF4" w:rsidRPr="003B0A09">
        <w:rPr>
          <w:rFonts w:ascii="Palatino Linotype" w:hAnsi="Palatino Linotype"/>
          <w:sz w:val="22"/>
          <w:szCs w:val="22"/>
        </w:rPr>
        <w:t xml:space="preserve">between peak ground acceleration, peak ground velocity, and modified mercalli intensity </w:t>
      </w:r>
      <w:r w:rsidRPr="003B0A09">
        <w:rPr>
          <w:rFonts w:ascii="Palatino Linotype" w:hAnsi="Palatino Linotype"/>
          <w:sz w:val="22"/>
          <w:szCs w:val="22"/>
        </w:rPr>
        <w:t xml:space="preserve">in California. </w:t>
      </w:r>
      <w:r w:rsidRPr="003B0A09">
        <w:rPr>
          <w:rFonts w:ascii="Palatino Linotype" w:hAnsi="Palatino Linotype"/>
          <w:i/>
          <w:sz w:val="22"/>
          <w:szCs w:val="22"/>
        </w:rPr>
        <w:t>J. Earthquake Spectra</w:t>
      </w:r>
      <w:r w:rsidRPr="003B0A09">
        <w:rPr>
          <w:rFonts w:ascii="Palatino Linotype" w:hAnsi="Palatino Linotype"/>
          <w:sz w:val="22"/>
          <w:szCs w:val="22"/>
        </w:rPr>
        <w:t xml:space="preserve">, </w:t>
      </w:r>
      <w:r w:rsidRPr="003B0A09">
        <w:rPr>
          <w:rFonts w:ascii="Palatino Linotype" w:hAnsi="Palatino Linotype"/>
          <w:i/>
          <w:sz w:val="22"/>
          <w:szCs w:val="22"/>
        </w:rPr>
        <w:t>15</w:t>
      </w:r>
      <w:r w:rsidRPr="003B0A09">
        <w:rPr>
          <w:rFonts w:ascii="Palatino Linotype" w:hAnsi="Palatino Linotype"/>
          <w:sz w:val="22"/>
          <w:szCs w:val="22"/>
        </w:rPr>
        <w:t xml:space="preserve">(3), 557-564. </w:t>
      </w:r>
      <w:hyperlink r:id="rId34" w:history="1">
        <w:r w:rsidR="0007332F" w:rsidRPr="0007332F">
          <w:rPr>
            <w:rStyle w:val="Hyperlink"/>
            <w:rFonts w:ascii="Palatino Linotype" w:hAnsi="Palatino Linotype"/>
            <w:color w:val="auto"/>
            <w:sz w:val="22"/>
            <w:szCs w:val="22"/>
            <w:u w:val="none"/>
          </w:rPr>
          <w:t>https://doi.org/10.</w:t>
        </w:r>
        <w:r w:rsidR="0007332F" w:rsidRPr="0007332F">
          <w:rPr>
            <w:rStyle w:val="Hyperlink"/>
            <w:rFonts w:ascii="Palatino Linotype" w:hAnsi="Palatino Linotype"/>
            <w:color w:val="auto"/>
            <w:sz w:val="22"/>
            <w:szCs w:val="22"/>
            <w:u w:val="none"/>
            <w:lang w:val="en-US"/>
          </w:rPr>
          <w:t xml:space="preserve"> </w:t>
        </w:r>
        <w:r w:rsidR="0007332F" w:rsidRPr="0007332F">
          <w:rPr>
            <w:rStyle w:val="Hyperlink"/>
            <w:rFonts w:ascii="Palatino Linotype" w:hAnsi="Palatino Linotype"/>
            <w:color w:val="auto"/>
            <w:sz w:val="22"/>
            <w:szCs w:val="22"/>
            <w:u w:val="none"/>
          </w:rPr>
          <w:t>1193/1.1586058</w:t>
        </w:r>
      </w:hyperlink>
      <w:r w:rsidRPr="0007332F">
        <w:rPr>
          <w:rFonts w:ascii="Palatino Linotype" w:hAnsi="Palatino Linotype"/>
          <w:sz w:val="22"/>
          <w:szCs w:val="22"/>
        </w:rPr>
        <w:t>.</w:t>
      </w:r>
    </w:p>
    <w:p w:rsidR="002F22FD" w:rsidRPr="003B0A09" w:rsidRDefault="002F22FD" w:rsidP="002F22FD">
      <w:pPr>
        <w:ind w:left="450" w:hanging="450"/>
        <w:jc w:val="both"/>
        <w:rPr>
          <w:rFonts w:ascii="Palatino Linotype" w:hAnsi="Palatino Linotype"/>
          <w:sz w:val="22"/>
          <w:szCs w:val="22"/>
        </w:rPr>
      </w:pPr>
      <w:r w:rsidRPr="003B0A09">
        <w:rPr>
          <w:rFonts w:ascii="Palatino Linotype" w:hAnsi="Palatino Linotype"/>
          <w:sz w:val="22"/>
          <w:szCs w:val="22"/>
        </w:rPr>
        <w:t xml:space="preserve">Wangsadinata, W. (2006). </w:t>
      </w:r>
      <w:r w:rsidRPr="003B0A09">
        <w:rPr>
          <w:rFonts w:ascii="Palatino Linotype" w:hAnsi="Palatino Linotype"/>
          <w:i/>
          <w:sz w:val="22"/>
          <w:szCs w:val="22"/>
        </w:rPr>
        <w:t xml:space="preserve">Perencanaan </w:t>
      </w:r>
      <w:r w:rsidR="000B75C8" w:rsidRPr="003B0A09">
        <w:rPr>
          <w:rFonts w:ascii="Palatino Linotype" w:hAnsi="Palatino Linotype"/>
          <w:i/>
          <w:sz w:val="22"/>
          <w:szCs w:val="22"/>
        </w:rPr>
        <w:t xml:space="preserve">bangunan tahan gempa berdasarkan </w:t>
      </w:r>
      <w:r w:rsidRPr="003B0A09">
        <w:rPr>
          <w:rFonts w:ascii="Palatino Linotype" w:hAnsi="Palatino Linotype"/>
          <w:i/>
          <w:sz w:val="22"/>
          <w:szCs w:val="22"/>
        </w:rPr>
        <w:t>SNI 1726-2002</w:t>
      </w:r>
      <w:r w:rsidRPr="003B0A09">
        <w:rPr>
          <w:rFonts w:ascii="Palatino Linotype" w:hAnsi="Palatino Linotype"/>
          <w:sz w:val="22"/>
          <w:szCs w:val="22"/>
        </w:rPr>
        <w:t>. Jakarta: Short course HAKI.</w:t>
      </w:r>
    </w:p>
    <w:p w:rsidR="002F22FD" w:rsidRPr="000B75C8" w:rsidRDefault="002F22FD" w:rsidP="0007332F">
      <w:pPr>
        <w:autoSpaceDE w:val="0"/>
        <w:autoSpaceDN w:val="0"/>
        <w:adjustRightInd w:val="0"/>
        <w:ind w:left="450" w:hanging="450"/>
        <w:jc w:val="both"/>
        <w:rPr>
          <w:rFonts w:ascii="Palatino Linotype" w:hAnsi="Palatino Linotype" w:cs="Helvetica"/>
          <w:sz w:val="22"/>
          <w:szCs w:val="22"/>
          <w:shd w:val="clear" w:color="auto" w:fill="FFFFFF"/>
        </w:rPr>
      </w:pPr>
      <w:r w:rsidRPr="003B0A09">
        <w:rPr>
          <w:rFonts w:ascii="Palatino Linotype" w:hAnsi="Palatino Linotype"/>
          <w:sz w:val="22"/>
          <w:szCs w:val="22"/>
        </w:rPr>
        <w:t xml:space="preserve">Wood, N. &amp; Ratliff, J. (2011). </w:t>
      </w:r>
      <w:r w:rsidRPr="003B0A09">
        <w:rPr>
          <w:rFonts w:ascii="Palatino Linotype" w:hAnsi="Palatino Linotype"/>
          <w:i/>
          <w:sz w:val="22"/>
          <w:szCs w:val="22"/>
        </w:rPr>
        <w:t xml:space="preserve">Population </w:t>
      </w:r>
      <w:r w:rsidR="000B75C8" w:rsidRPr="003B0A09">
        <w:rPr>
          <w:rFonts w:ascii="Palatino Linotype" w:hAnsi="Palatino Linotype"/>
          <w:i/>
          <w:sz w:val="22"/>
          <w:szCs w:val="22"/>
        </w:rPr>
        <w:t>and business exposure to twenty scenario earthquakes</w:t>
      </w:r>
      <w:r w:rsidRPr="003B0A09">
        <w:rPr>
          <w:rFonts w:ascii="Palatino Linotype" w:hAnsi="Palatino Linotype"/>
          <w:i/>
          <w:sz w:val="22"/>
          <w:szCs w:val="22"/>
        </w:rPr>
        <w:t xml:space="preserve"> in the State of Washington</w:t>
      </w:r>
      <w:r w:rsidRPr="003B0A09">
        <w:rPr>
          <w:rFonts w:ascii="Palatino Linotype" w:hAnsi="Palatino Linotype"/>
          <w:sz w:val="22"/>
          <w:szCs w:val="22"/>
        </w:rPr>
        <w:t>. USA: U.S. Geological Survey.</w:t>
      </w:r>
      <w:r w:rsidR="000B75C8">
        <w:rPr>
          <w:rFonts w:ascii="Palatino Linotype" w:hAnsi="Palatino Linotype"/>
          <w:sz w:val="22"/>
          <w:szCs w:val="22"/>
          <w:lang w:val="en-US"/>
        </w:rPr>
        <w:t xml:space="preserve"> </w:t>
      </w:r>
      <w:hyperlink r:id="rId35" w:history="1">
        <w:r w:rsidR="000B75C8" w:rsidRPr="000B75C8">
          <w:rPr>
            <w:rStyle w:val="Hyperlink"/>
            <w:rFonts w:ascii="Palatino Linotype" w:hAnsi="Palatino Linotype" w:cs="Helvetica"/>
            <w:color w:val="auto"/>
            <w:sz w:val="22"/>
            <w:szCs w:val="22"/>
            <w:u w:val="none"/>
            <w:shd w:val="clear" w:color="auto" w:fill="FFFFFF"/>
          </w:rPr>
          <w:t>https://doi.org/10.</w:t>
        </w:r>
        <w:r w:rsidR="000B75C8" w:rsidRPr="000B75C8">
          <w:rPr>
            <w:rStyle w:val="Hyperlink"/>
            <w:rFonts w:ascii="Palatino Linotype" w:hAnsi="Palatino Linotype" w:cs="Helvetica"/>
            <w:color w:val="auto"/>
            <w:sz w:val="22"/>
            <w:szCs w:val="22"/>
            <w:u w:val="none"/>
            <w:shd w:val="clear" w:color="auto" w:fill="FFFFFF"/>
            <w:lang w:val="en-US"/>
          </w:rPr>
          <w:t xml:space="preserve"> </w:t>
        </w:r>
        <w:r w:rsidR="000B75C8" w:rsidRPr="000B75C8">
          <w:rPr>
            <w:rStyle w:val="Hyperlink"/>
            <w:rFonts w:ascii="Palatino Linotype" w:hAnsi="Palatino Linotype" w:cs="Helvetica"/>
            <w:color w:val="auto"/>
            <w:sz w:val="22"/>
            <w:szCs w:val="22"/>
            <w:u w:val="none"/>
            <w:shd w:val="clear" w:color="auto" w:fill="FFFFFF"/>
          </w:rPr>
          <w:t>3133/ofr20111016</w:t>
        </w:r>
      </w:hyperlink>
      <w:r w:rsidRPr="000B75C8">
        <w:rPr>
          <w:rFonts w:ascii="Palatino Linotype" w:hAnsi="Palatino Linotype" w:cs="Helvetica"/>
          <w:sz w:val="22"/>
          <w:szCs w:val="22"/>
          <w:shd w:val="clear" w:color="auto" w:fill="FFFFFF"/>
        </w:rPr>
        <w:t>.</w:t>
      </w:r>
    </w:p>
    <w:p w:rsidR="00A63860" w:rsidRPr="000B75C8" w:rsidRDefault="00A63860" w:rsidP="00A63860">
      <w:pPr>
        <w:tabs>
          <w:tab w:val="left" w:pos="567"/>
        </w:tabs>
        <w:jc w:val="both"/>
        <w:rPr>
          <w:rFonts w:ascii="Palatino Linotype" w:hAnsi="Palatino Linotype"/>
          <w:sz w:val="22"/>
          <w:szCs w:val="22"/>
          <w:lang w:val="en-US"/>
        </w:rPr>
        <w:sectPr w:rsidR="00A63860" w:rsidRPr="000B75C8" w:rsidSect="006B2144">
          <w:type w:val="continuous"/>
          <w:pgSz w:w="11909" w:h="16834" w:code="9"/>
          <w:pgMar w:top="1134" w:right="1134" w:bottom="1134" w:left="1134" w:header="432" w:footer="432" w:gutter="0"/>
          <w:pgNumType w:start="1"/>
          <w:cols w:num="2" w:space="576"/>
          <w:titlePg/>
          <w:docGrid w:linePitch="272"/>
        </w:sectPr>
      </w:pPr>
    </w:p>
    <w:p w:rsidR="00733A59" w:rsidRDefault="00733A59" w:rsidP="006E1819">
      <w:pPr>
        <w:tabs>
          <w:tab w:val="left" w:pos="567"/>
        </w:tabs>
        <w:rPr>
          <w:rFonts w:ascii="Palatino Linotype" w:hAnsi="Palatino Linotype"/>
          <w:sz w:val="22"/>
          <w:szCs w:val="22"/>
          <w:lang w:val="en-US"/>
        </w:rPr>
      </w:pPr>
    </w:p>
    <w:p w:rsidR="00733A59" w:rsidRDefault="00733A59" w:rsidP="006E1819">
      <w:pPr>
        <w:tabs>
          <w:tab w:val="left" w:pos="567"/>
        </w:tabs>
        <w:rPr>
          <w:rFonts w:ascii="Palatino Linotype" w:hAnsi="Palatino Linotype"/>
          <w:sz w:val="22"/>
          <w:szCs w:val="22"/>
          <w:lang w:val="en-US"/>
        </w:rPr>
      </w:pPr>
    </w:p>
    <w:p w:rsidR="00733A59" w:rsidRDefault="00733A59" w:rsidP="006E1819">
      <w:pPr>
        <w:tabs>
          <w:tab w:val="left" w:pos="567"/>
        </w:tabs>
        <w:rPr>
          <w:rFonts w:ascii="Palatino Linotype" w:hAnsi="Palatino Linotype"/>
          <w:sz w:val="22"/>
          <w:szCs w:val="22"/>
          <w:lang w:val="en-US"/>
        </w:rPr>
      </w:pPr>
    </w:p>
    <w:p w:rsidR="00733A59" w:rsidRDefault="00733A59" w:rsidP="006E1819">
      <w:pPr>
        <w:tabs>
          <w:tab w:val="left" w:pos="567"/>
        </w:tabs>
        <w:rPr>
          <w:rFonts w:ascii="Palatino Linotype" w:hAnsi="Palatino Linotype"/>
          <w:sz w:val="22"/>
          <w:szCs w:val="22"/>
          <w:lang w:val="en-US"/>
        </w:rPr>
      </w:pPr>
    </w:p>
    <w:p w:rsidR="00733A59" w:rsidRDefault="00733A59" w:rsidP="006E1819">
      <w:pPr>
        <w:tabs>
          <w:tab w:val="left" w:pos="567"/>
        </w:tabs>
        <w:rPr>
          <w:rFonts w:ascii="Palatino Linotype" w:hAnsi="Palatino Linotype"/>
          <w:sz w:val="22"/>
          <w:szCs w:val="22"/>
          <w:lang w:val="en-US"/>
        </w:rPr>
      </w:pPr>
    </w:p>
    <w:p w:rsidR="00733A59" w:rsidRDefault="00733A59" w:rsidP="006E1819">
      <w:pPr>
        <w:tabs>
          <w:tab w:val="left" w:pos="567"/>
        </w:tabs>
        <w:rPr>
          <w:rFonts w:ascii="Palatino Linotype" w:hAnsi="Palatino Linotype"/>
          <w:sz w:val="22"/>
          <w:szCs w:val="22"/>
          <w:lang w:val="en-US"/>
        </w:rPr>
      </w:pPr>
    </w:p>
    <w:p w:rsidR="00733A59" w:rsidRDefault="00733A59" w:rsidP="006E1819">
      <w:pPr>
        <w:tabs>
          <w:tab w:val="left" w:pos="567"/>
        </w:tabs>
        <w:rPr>
          <w:rFonts w:ascii="Palatino Linotype" w:hAnsi="Palatino Linotype"/>
          <w:sz w:val="22"/>
          <w:szCs w:val="22"/>
          <w:lang w:val="en-US"/>
        </w:rPr>
      </w:pPr>
    </w:p>
    <w:p w:rsidR="00733A59" w:rsidRDefault="00733A59" w:rsidP="006E1819">
      <w:pPr>
        <w:tabs>
          <w:tab w:val="left" w:pos="567"/>
        </w:tabs>
        <w:rPr>
          <w:rFonts w:ascii="Palatino Linotype" w:hAnsi="Palatino Linotype"/>
          <w:sz w:val="22"/>
          <w:szCs w:val="22"/>
          <w:lang w:val="en-US"/>
        </w:rPr>
      </w:pPr>
    </w:p>
    <w:p w:rsidR="00733A59" w:rsidRDefault="00733A59" w:rsidP="006E1819">
      <w:pPr>
        <w:tabs>
          <w:tab w:val="left" w:pos="567"/>
        </w:tabs>
        <w:rPr>
          <w:rFonts w:ascii="Palatino Linotype" w:hAnsi="Palatino Linotype"/>
          <w:sz w:val="22"/>
          <w:szCs w:val="22"/>
          <w:lang w:val="en-US"/>
        </w:rPr>
      </w:pPr>
    </w:p>
    <w:p w:rsidR="00733A59" w:rsidRDefault="00733A59" w:rsidP="006E1819">
      <w:pPr>
        <w:tabs>
          <w:tab w:val="left" w:pos="567"/>
        </w:tabs>
        <w:rPr>
          <w:rFonts w:ascii="Palatino Linotype" w:hAnsi="Palatino Linotype"/>
          <w:sz w:val="22"/>
          <w:szCs w:val="22"/>
          <w:lang w:val="en-US"/>
        </w:rPr>
      </w:pPr>
    </w:p>
    <w:p w:rsidR="00733A59" w:rsidRDefault="00733A59" w:rsidP="006E1819">
      <w:pPr>
        <w:tabs>
          <w:tab w:val="left" w:pos="567"/>
        </w:tabs>
        <w:rPr>
          <w:rFonts w:ascii="Palatino Linotype" w:hAnsi="Palatino Linotype"/>
          <w:sz w:val="22"/>
          <w:szCs w:val="22"/>
          <w:lang w:val="en-US"/>
        </w:rPr>
      </w:pPr>
    </w:p>
    <w:p w:rsidR="00733A59" w:rsidRDefault="00733A59" w:rsidP="006E1819">
      <w:pPr>
        <w:tabs>
          <w:tab w:val="left" w:pos="567"/>
        </w:tabs>
        <w:rPr>
          <w:rFonts w:ascii="Palatino Linotype" w:hAnsi="Palatino Linotype"/>
          <w:sz w:val="22"/>
          <w:szCs w:val="22"/>
          <w:lang w:val="en-US"/>
        </w:rPr>
      </w:pPr>
    </w:p>
    <w:p w:rsidR="00733A59" w:rsidRDefault="00733A59" w:rsidP="006E1819">
      <w:pPr>
        <w:tabs>
          <w:tab w:val="left" w:pos="567"/>
        </w:tabs>
        <w:rPr>
          <w:rFonts w:ascii="Palatino Linotype" w:hAnsi="Palatino Linotype"/>
          <w:sz w:val="22"/>
          <w:szCs w:val="22"/>
          <w:lang w:val="en-US"/>
        </w:rPr>
      </w:pPr>
    </w:p>
    <w:p w:rsidR="00733A59" w:rsidRPr="006E1819" w:rsidRDefault="00733A59" w:rsidP="006E1819">
      <w:pPr>
        <w:tabs>
          <w:tab w:val="left" w:pos="567"/>
        </w:tabs>
        <w:rPr>
          <w:rFonts w:ascii="Palatino Linotype" w:hAnsi="Palatino Linotype"/>
          <w:sz w:val="22"/>
          <w:szCs w:val="22"/>
          <w:lang w:val="en-US"/>
        </w:rPr>
        <w:sectPr w:rsidR="00733A59" w:rsidRPr="006E1819" w:rsidSect="006B2144">
          <w:headerReference w:type="default" r:id="rId36"/>
          <w:footerReference w:type="even" r:id="rId37"/>
          <w:footerReference w:type="default" r:id="rId38"/>
          <w:type w:val="continuous"/>
          <w:pgSz w:w="11909" w:h="16834" w:code="9"/>
          <w:pgMar w:top="1134" w:right="1134" w:bottom="1134" w:left="1134" w:header="432" w:footer="432" w:gutter="0"/>
          <w:pgNumType w:start="1"/>
          <w:cols w:num="2" w:space="576"/>
          <w:titlePg/>
          <w:docGrid w:linePitch="272"/>
        </w:sectPr>
      </w:pPr>
    </w:p>
    <w:p w:rsidR="00D558FA" w:rsidRPr="006E1819" w:rsidRDefault="00D558FA" w:rsidP="006E1819">
      <w:pPr>
        <w:tabs>
          <w:tab w:val="left" w:pos="567"/>
        </w:tabs>
        <w:jc w:val="center"/>
        <w:rPr>
          <w:rFonts w:ascii="Palatino Linotype" w:hAnsi="Palatino Linotype"/>
          <w:sz w:val="22"/>
          <w:szCs w:val="22"/>
          <w:lang w:val="en-US"/>
        </w:rPr>
      </w:pPr>
    </w:p>
    <w:p w:rsidR="006E1819" w:rsidRDefault="006E1819" w:rsidP="006E1819">
      <w:pPr>
        <w:tabs>
          <w:tab w:val="left" w:pos="567"/>
        </w:tabs>
        <w:jc w:val="center"/>
        <w:rPr>
          <w:rFonts w:ascii="Palatino Linotype" w:hAnsi="Palatino Linotype"/>
          <w:color w:val="FF0000"/>
          <w:sz w:val="22"/>
          <w:szCs w:val="22"/>
          <w:lang w:val="en-US"/>
        </w:rPr>
      </w:pPr>
    </w:p>
    <w:p w:rsidR="006E1819" w:rsidRPr="006E1819" w:rsidRDefault="006E1819" w:rsidP="006E1819">
      <w:pPr>
        <w:tabs>
          <w:tab w:val="left" w:pos="567"/>
        </w:tabs>
        <w:jc w:val="center"/>
        <w:rPr>
          <w:rFonts w:ascii="Palatino Linotype" w:hAnsi="Palatino Linotype"/>
          <w:sz w:val="22"/>
          <w:szCs w:val="22"/>
        </w:rPr>
        <w:sectPr w:rsidR="006E1819" w:rsidRPr="006E1819" w:rsidSect="006B2144">
          <w:type w:val="continuous"/>
          <w:pgSz w:w="11909" w:h="16834" w:code="9"/>
          <w:pgMar w:top="1134" w:right="1134" w:bottom="1134" w:left="1134" w:header="432" w:footer="432" w:gutter="0"/>
          <w:pgNumType w:start="1"/>
          <w:cols w:space="576"/>
          <w:titlePg/>
          <w:docGrid w:linePitch="272"/>
        </w:sectPr>
      </w:pPr>
    </w:p>
    <w:p w:rsidR="006E1819" w:rsidRDefault="006E1819" w:rsidP="006E1819">
      <w:pPr>
        <w:tabs>
          <w:tab w:val="left" w:pos="567"/>
        </w:tabs>
        <w:rPr>
          <w:rFonts w:ascii="Palatino Linotype" w:hAnsi="Palatino Linotype"/>
          <w:b/>
          <w:sz w:val="22"/>
          <w:szCs w:val="22"/>
        </w:rPr>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733A59" w:rsidRDefault="00733A59" w:rsidP="00443ACF">
      <w:pPr>
        <w:pStyle w:val="Heading1"/>
      </w:pPr>
    </w:p>
    <w:p w:rsidR="006E1819" w:rsidRDefault="006E1819" w:rsidP="006E1819">
      <w:pPr>
        <w:tabs>
          <w:tab w:val="left" w:pos="567"/>
        </w:tabs>
        <w:rPr>
          <w:rFonts w:ascii="Palatino Linotype" w:hAnsi="Palatino Linotype"/>
          <w:b/>
          <w:sz w:val="22"/>
          <w:szCs w:val="22"/>
        </w:rPr>
      </w:pPr>
    </w:p>
    <w:p w:rsidR="006E1819" w:rsidRDefault="006E1819" w:rsidP="006E1819">
      <w:pPr>
        <w:tabs>
          <w:tab w:val="left" w:pos="567"/>
        </w:tabs>
        <w:rPr>
          <w:rFonts w:ascii="Palatino Linotype" w:hAnsi="Palatino Linotype"/>
          <w:b/>
          <w:sz w:val="22"/>
          <w:szCs w:val="22"/>
        </w:rPr>
      </w:pPr>
    </w:p>
    <w:p w:rsidR="00DC7425" w:rsidRPr="006E1819" w:rsidRDefault="00DC7425" w:rsidP="006E1819">
      <w:pPr>
        <w:tabs>
          <w:tab w:val="left" w:pos="567"/>
        </w:tabs>
        <w:rPr>
          <w:rFonts w:ascii="Palatino Linotype" w:hAnsi="Palatino Linotype"/>
          <w:sz w:val="22"/>
          <w:szCs w:val="22"/>
        </w:rPr>
      </w:pPr>
    </w:p>
    <w:p w:rsidR="008D394E" w:rsidRPr="006E1819" w:rsidRDefault="008D394E" w:rsidP="006E1819">
      <w:pPr>
        <w:tabs>
          <w:tab w:val="left" w:pos="567"/>
        </w:tabs>
        <w:rPr>
          <w:rFonts w:ascii="Palatino Linotype" w:hAnsi="Palatino Linotype"/>
          <w:sz w:val="22"/>
          <w:szCs w:val="22"/>
        </w:rPr>
      </w:pPr>
    </w:p>
    <w:sectPr w:rsidR="008D394E" w:rsidRPr="006E1819" w:rsidSect="006B2144">
      <w:type w:val="continuous"/>
      <w:pgSz w:w="11909" w:h="16834" w:code="9"/>
      <w:pgMar w:top="1134" w:right="1134" w:bottom="1134" w:left="1134" w:header="432" w:footer="432" w:gutter="0"/>
      <w:pgNumType w:start="1"/>
      <w:cols w:num="2" w:space="576"/>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4832" w:rsidRDefault="00624832">
      <w:pPr>
        <w:rPr>
          <w:sz w:val="18"/>
        </w:rPr>
      </w:pPr>
    </w:p>
  </w:endnote>
  <w:endnote w:type="continuationSeparator" w:id="0">
    <w:p w:rsidR="00624832" w:rsidRDefault="00624832">
      <w:pPr>
        <w:rPr>
          <w:sz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Baskerville">
    <w:altName w:val="Courier New"/>
    <w:charset w:val="00"/>
    <w:family w:val="auto"/>
    <w:pitch w:val="default"/>
    <w:sig w:usb0="03000000"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30928"/>
      <w:docPartObj>
        <w:docPartGallery w:val="Page Numbers (Bottom of Page)"/>
        <w:docPartUnique/>
      </w:docPartObj>
    </w:sdtPr>
    <w:sdtEndPr>
      <w:rPr>
        <w:sz w:val="18"/>
      </w:rPr>
    </w:sdtEndPr>
    <w:sdtContent>
      <w:p w:rsidR="0016208B" w:rsidRPr="0001029C" w:rsidRDefault="00B851C9" w:rsidP="0001029C">
        <w:pPr>
          <w:pStyle w:val="Footer"/>
          <w:pBdr>
            <w:top w:val="single" w:sz="4" w:space="1" w:color="auto"/>
          </w:pBdr>
          <w:jc w:val="center"/>
          <w:rPr>
            <w:sz w:val="18"/>
          </w:rPr>
        </w:pPr>
        <w:r w:rsidRPr="0001029C">
          <w:rPr>
            <w:rFonts w:ascii="Palatino Linotype" w:hAnsi="Palatino Linotype"/>
            <w:sz w:val="22"/>
          </w:rPr>
          <w:fldChar w:fldCharType="begin"/>
        </w:r>
        <w:r w:rsidR="0016208B" w:rsidRPr="0001029C">
          <w:rPr>
            <w:rFonts w:ascii="Palatino Linotype" w:hAnsi="Palatino Linotype"/>
            <w:sz w:val="22"/>
          </w:rPr>
          <w:instrText xml:space="preserve"> PAGE   \* MERGEFORMAT </w:instrText>
        </w:r>
        <w:r w:rsidRPr="0001029C">
          <w:rPr>
            <w:rFonts w:ascii="Palatino Linotype" w:hAnsi="Palatino Linotype"/>
            <w:sz w:val="22"/>
          </w:rPr>
          <w:fldChar w:fldCharType="separate"/>
        </w:r>
        <w:r w:rsidR="00225392">
          <w:rPr>
            <w:rFonts w:ascii="Palatino Linotype" w:hAnsi="Palatino Linotype"/>
            <w:noProof/>
            <w:sz w:val="22"/>
          </w:rPr>
          <w:t>9</w:t>
        </w:r>
        <w:r w:rsidRPr="0001029C">
          <w:rPr>
            <w:rFonts w:ascii="Palatino Linotype" w:hAnsi="Palatino Linotype"/>
            <w:sz w:val="22"/>
          </w:rPr>
          <w:fldChar w:fldCharType="end"/>
        </w:r>
      </w:p>
    </w:sdtContent>
  </w:sdt>
  <w:p w:rsidR="0016208B" w:rsidRDefault="0016208B" w:rsidP="0016208B">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142" w:rsidRPr="00692142" w:rsidRDefault="00692142" w:rsidP="006921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534" w:rsidRDefault="002C05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4832" w:rsidRDefault="00624832">
      <w:pPr>
        <w:rPr>
          <w:sz w:val="18"/>
        </w:rPr>
      </w:pPr>
    </w:p>
  </w:footnote>
  <w:footnote w:type="continuationSeparator" w:id="0">
    <w:p w:rsidR="00624832" w:rsidRDefault="00624832">
      <w:pPr>
        <w:rPr>
          <w:sz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2B9" w:rsidRPr="0001029C" w:rsidRDefault="00B851C9" w:rsidP="0001029C">
    <w:pPr>
      <w:pStyle w:val="FluxHalaman"/>
      <w:pBdr>
        <w:bottom w:val="single" w:sz="4" w:space="1" w:color="auto"/>
      </w:pBdr>
      <w:tabs>
        <w:tab w:val="clear" w:pos="4320"/>
        <w:tab w:val="clear" w:pos="8640"/>
      </w:tabs>
      <w:jc w:val="left"/>
      <w:rPr>
        <w:sz w:val="22"/>
        <w:szCs w:val="22"/>
        <w:lang w:val="en-US"/>
      </w:rPr>
    </w:pPr>
    <w:r w:rsidRPr="0001029C">
      <w:rPr>
        <w:rFonts w:ascii="Palatino Linotype" w:hAnsi="Palatino Linotype"/>
        <w:sz w:val="22"/>
        <w:szCs w:val="22"/>
      </w:rPr>
      <w:fldChar w:fldCharType="begin"/>
    </w:r>
    <w:r w:rsidR="00BD52B9" w:rsidRPr="0001029C">
      <w:rPr>
        <w:rFonts w:ascii="Palatino Linotype" w:hAnsi="Palatino Linotype"/>
        <w:sz w:val="22"/>
        <w:szCs w:val="22"/>
      </w:rPr>
      <w:instrText xml:space="preserve"> PAGE   \* MERGEFORMAT </w:instrText>
    </w:r>
    <w:r w:rsidRPr="0001029C">
      <w:rPr>
        <w:rFonts w:ascii="Palatino Linotype" w:hAnsi="Palatino Linotype"/>
        <w:sz w:val="22"/>
        <w:szCs w:val="22"/>
      </w:rPr>
      <w:fldChar w:fldCharType="separate"/>
    </w:r>
    <w:r w:rsidR="00225392" w:rsidRPr="00225392">
      <w:rPr>
        <w:rFonts w:ascii="Palatino Linotype" w:hAnsi="Palatino Linotype"/>
        <w:noProof/>
        <w:sz w:val="22"/>
        <w:szCs w:val="22"/>
        <w:lang w:val="en-US"/>
      </w:rPr>
      <w:t>10</w:t>
    </w:r>
    <w:r w:rsidRPr="0001029C">
      <w:rPr>
        <w:rFonts w:ascii="Palatino Linotype" w:hAnsi="Palatino Linotype"/>
        <w:sz w:val="22"/>
        <w:szCs w:val="22"/>
      </w:rPr>
      <w:fldChar w:fldCharType="end"/>
    </w:r>
    <w:r w:rsidR="00D95618" w:rsidRPr="0001029C">
      <w:rPr>
        <w:rFonts w:ascii="Palatino Linotype" w:hAnsi="Palatino Linotype"/>
        <w:b/>
        <w:sz w:val="22"/>
        <w:szCs w:val="22"/>
        <w:lang w:val="en-US"/>
      </w:rPr>
      <w:t xml:space="preserve"> </w:t>
    </w:r>
    <w:r w:rsidR="003158CD" w:rsidRPr="0001029C">
      <w:rPr>
        <w:rFonts w:ascii="Palatino Linotype" w:hAnsi="Palatino Linotype"/>
        <w:b/>
        <w:sz w:val="22"/>
        <w:szCs w:val="22"/>
        <w:lang w:val="en-US"/>
      </w:rPr>
      <w:tab/>
    </w:r>
    <w:r w:rsidR="003158CD" w:rsidRPr="0001029C">
      <w:rPr>
        <w:rFonts w:ascii="Palatino Linotype" w:hAnsi="Palatino Linotype"/>
        <w:b/>
        <w:sz w:val="22"/>
        <w:szCs w:val="22"/>
        <w:lang w:val="en-US"/>
      </w:rPr>
      <w:tab/>
    </w:r>
    <w:r w:rsidR="00D95618" w:rsidRPr="0001029C">
      <w:rPr>
        <w:rStyle w:val="FluxKeternganPenulisChar"/>
        <w:sz w:val="22"/>
        <w:szCs w:val="22"/>
        <w:lang w:val="en-US"/>
      </w:rPr>
      <w:t>vol. 1</w:t>
    </w:r>
    <w:r w:rsidR="0042308B">
      <w:rPr>
        <w:rStyle w:val="FluxKeternganPenulisChar"/>
        <w:sz w:val="22"/>
        <w:szCs w:val="22"/>
        <w:lang w:val="en-US"/>
      </w:rPr>
      <w:t>8</w:t>
    </w:r>
    <w:r w:rsidR="00D95618" w:rsidRPr="0001029C">
      <w:rPr>
        <w:rStyle w:val="FluxKeternganPenulisChar"/>
        <w:sz w:val="22"/>
        <w:szCs w:val="22"/>
        <w:lang w:val="en-US"/>
      </w:rPr>
      <w:t>, no. 1, Februari 20</w:t>
    </w:r>
    <w:r w:rsidR="0042308B">
      <w:rPr>
        <w:rStyle w:val="FluxKeternganPenulisChar"/>
        <w:sz w:val="22"/>
        <w:szCs w:val="22"/>
        <w:lang w:val="en-US"/>
      </w:rPr>
      <w:t>21</w:t>
    </w:r>
    <w:r w:rsidR="00D95618" w:rsidRPr="0001029C">
      <w:rPr>
        <w:rStyle w:val="FluxKeternganPenulisChar"/>
        <w:sz w:val="22"/>
        <w:szCs w:val="22"/>
        <w:lang w:val="en-US"/>
      </w:rPr>
      <w:t xml:space="preserve"> (1-8)</w:t>
    </w:r>
  </w:p>
  <w:p w:rsidR="00BD52B9" w:rsidRDefault="00BD52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308B" w:rsidRPr="00E732F9" w:rsidRDefault="0042308B" w:rsidP="0042308B">
    <w:pPr>
      <w:pStyle w:val="PaperTitle"/>
      <w:shd w:val="clear" w:color="auto" w:fill="D9D9D9" w:themeFill="background1" w:themeFillShade="D9"/>
      <w:spacing w:before="0"/>
      <w:rPr>
        <w:rFonts w:ascii="Palatino Linotype" w:hAnsi="Palatino Linotype" w:cs="Arial"/>
        <w:i/>
        <w:iCs/>
        <w:sz w:val="22"/>
        <w:szCs w:val="22"/>
        <w:lang w:eastAsia="ja-JP"/>
      </w:rPr>
    </w:pPr>
    <w:r w:rsidRPr="00E732F9">
      <w:rPr>
        <w:rFonts w:ascii="Palatino Linotype" w:hAnsi="Palatino Linotype" w:cs="Arial"/>
        <w:sz w:val="22"/>
        <w:szCs w:val="22"/>
        <w:lang w:eastAsia="ja-JP"/>
      </w:rPr>
      <w:t>Jurnal Fisika Flux: Jurnal Ilmiah Fisika FMIPA Universitas Lambung Mangkurat</w:t>
    </w:r>
  </w:p>
  <w:p w:rsidR="0042308B" w:rsidRPr="00E732F9" w:rsidRDefault="0042308B" w:rsidP="0042308B">
    <w:pPr>
      <w:pStyle w:val="PaperTitle"/>
      <w:pBdr>
        <w:bottom w:val="double" w:sz="6" w:space="1" w:color="auto"/>
      </w:pBdr>
      <w:shd w:val="clear" w:color="auto" w:fill="D9D9D9" w:themeFill="background1" w:themeFillShade="D9"/>
      <w:spacing w:before="0"/>
      <w:rPr>
        <w:rFonts w:ascii="Palatino Linotype" w:hAnsi="Palatino Linotype" w:cs="Arial"/>
        <w:sz w:val="20"/>
        <w:lang w:eastAsia="ja-JP"/>
      </w:rPr>
    </w:pPr>
    <w:r w:rsidRPr="00E732F9">
      <w:rPr>
        <w:rFonts w:ascii="Palatino Linotype" w:hAnsi="Palatino Linotype" w:cs="Arial"/>
        <w:sz w:val="20"/>
        <w:lang w:eastAsia="ja-JP"/>
      </w:rPr>
      <w:t xml:space="preserve">Volume 18, </w:t>
    </w:r>
    <w:proofErr w:type="gramStart"/>
    <w:r w:rsidRPr="00E732F9">
      <w:rPr>
        <w:rFonts w:ascii="Palatino Linotype" w:hAnsi="Palatino Linotype" w:cs="Arial"/>
        <w:sz w:val="20"/>
        <w:lang w:eastAsia="ja-JP"/>
      </w:rPr>
      <w:t>Nomor  1</w:t>
    </w:r>
    <w:proofErr w:type="gramEnd"/>
    <w:r w:rsidRPr="00E732F9">
      <w:rPr>
        <w:rFonts w:ascii="Palatino Linotype" w:hAnsi="Palatino Linotype" w:cs="Arial"/>
        <w:sz w:val="20"/>
        <w:lang w:eastAsia="ja-JP"/>
      </w:rPr>
      <w:t>, Februari 2021</w:t>
    </w:r>
  </w:p>
  <w:p w:rsidR="00BD52B9" w:rsidRPr="0095350B" w:rsidRDefault="0042308B" w:rsidP="0042308B">
    <w:pPr>
      <w:pStyle w:val="PaperTitle"/>
      <w:pBdr>
        <w:bottom w:val="double" w:sz="6" w:space="1" w:color="auto"/>
      </w:pBdr>
      <w:shd w:val="clear" w:color="auto" w:fill="D9D9D9" w:themeFill="background1" w:themeFillShade="D9"/>
      <w:spacing w:before="0"/>
      <w:rPr>
        <w:rFonts w:ascii="Palatino Linotype" w:hAnsi="Palatino Linotype"/>
      </w:rPr>
    </w:pPr>
    <w:r w:rsidRPr="00E732F9">
      <w:rPr>
        <w:rFonts w:ascii="Palatino Linotype" w:hAnsi="Palatino Linotype" w:cs="Arial"/>
        <w:sz w:val="20"/>
        <w:lang w:eastAsia="ja-JP"/>
      </w:rPr>
      <w:t>1819-796X (p-ISSN); 2541-1713 (e-ISSN)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6A69" w:rsidRPr="0001029C" w:rsidRDefault="00D95618" w:rsidP="0001029C">
    <w:pPr>
      <w:pStyle w:val="FluxHalaman"/>
      <w:pBdr>
        <w:bottom w:val="single" w:sz="4" w:space="1" w:color="auto"/>
      </w:pBdr>
      <w:tabs>
        <w:tab w:val="clear" w:pos="4320"/>
        <w:tab w:val="clear" w:pos="8640"/>
      </w:tabs>
      <w:rPr>
        <w:sz w:val="22"/>
        <w:szCs w:val="22"/>
      </w:rPr>
    </w:pPr>
    <w:r w:rsidRPr="0001029C">
      <w:rPr>
        <w:rStyle w:val="FluxKeternganPenulisChar"/>
        <w:sz w:val="22"/>
        <w:szCs w:val="22"/>
      </w:rPr>
      <w:t xml:space="preserve">Penulis </w:t>
    </w:r>
    <w:r w:rsidRPr="0001029C">
      <w:rPr>
        <w:rStyle w:val="FluxKeternganPenulisChar"/>
        <w:sz w:val="22"/>
        <w:szCs w:val="22"/>
        <w:lang w:val="en-US"/>
      </w:rPr>
      <w:t xml:space="preserve"> (Nama Belakang, Huruf awal nama pertama)</w:t>
    </w:r>
    <w:r w:rsidR="0001029C">
      <w:rPr>
        <w:rStyle w:val="FluxKeternganPenulisChar"/>
        <w:sz w:val="22"/>
        <w:szCs w:val="22"/>
        <w:lang w:val="en-US"/>
      </w:rPr>
      <w:t xml:space="preserve"> et al</w:t>
    </w:r>
    <w:r w:rsidR="00932521" w:rsidRPr="0001029C">
      <w:rPr>
        <w:rStyle w:val="FluxKeternganPenulisChar"/>
        <w:sz w:val="22"/>
        <w:szCs w:val="22"/>
        <w:lang w:val="en-US"/>
      </w:rPr>
      <w:t>.</w:t>
    </w:r>
    <w:r w:rsidRPr="0001029C">
      <w:rPr>
        <w:rStyle w:val="FluxKeternganPenulisChar"/>
        <w:sz w:val="22"/>
        <w:szCs w:val="22"/>
      </w:rPr>
      <w:t xml:space="preserve"> Judul Artikel....</w:t>
    </w:r>
    <w:r w:rsidR="003158CD" w:rsidRPr="0001029C">
      <w:rPr>
        <w:rStyle w:val="FluxKeternganPenulisChar"/>
        <w:sz w:val="22"/>
        <w:szCs w:val="22"/>
      </w:rPr>
      <w:tab/>
    </w:r>
    <w:r w:rsidR="003158CD" w:rsidRPr="0001029C">
      <w:rPr>
        <w:rStyle w:val="FluxKeternganPenulisChar"/>
        <w:sz w:val="22"/>
        <w:szCs w:val="22"/>
      </w:rPr>
      <w:tab/>
    </w:r>
    <w:r w:rsidR="00B851C9" w:rsidRPr="0001029C">
      <w:rPr>
        <w:rFonts w:ascii="Palatino Linotype" w:hAnsi="Palatino Linotype"/>
        <w:sz w:val="22"/>
        <w:szCs w:val="22"/>
      </w:rPr>
      <w:fldChar w:fldCharType="begin"/>
    </w:r>
    <w:r w:rsidR="00F06A69" w:rsidRPr="0001029C">
      <w:rPr>
        <w:rFonts w:ascii="Palatino Linotype" w:hAnsi="Palatino Linotype"/>
        <w:sz w:val="22"/>
        <w:szCs w:val="22"/>
      </w:rPr>
      <w:instrText xml:space="preserve"> PAGE   \* MERGEFORMAT </w:instrText>
    </w:r>
    <w:r w:rsidR="00B851C9" w:rsidRPr="0001029C">
      <w:rPr>
        <w:rFonts w:ascii="Palatino Linotype" w:hAnsi="Palatino Linotype"/>
        <w:sz w:val="22"/>
        <w:szCs w:val="22"/>
      </w:rPr>
      <w:fldChar w:fldCharType="separate"/>
    </w:r>
    <w:r w:rsidR="00BA703E" w:rsidRPr="00BA703E">
      <w:rPr>
        <w:rFonts w:ascii="Palatino Linotype" w:hAnsi="Palatino Linotype"/>
        <w:noProof/>
        <w:sz w:val="22"/>
        <w:szCs w:val="22"/>
        <w:lang w:val="en-US"/>
      </w:rPr>
      <w:t>1</w:t>
    </w:r>
    <w:r w:rsidR="00B851C9" w:rsidRPr="0001029C">
      <w:rPr>
        <w:rFonts w:ascii="Palatino Linotype" w:hAnsi="Palatino Linotype"/>
        <w:sz w:val="22"/>
        <w:szCs w:val="22"/>
      </w:rPr>
      <w:fldChar w:fldCharType="end"/>
    </w:r>
    <w:r w:rsidR="00F06A69" w:rsidRPr="0001029C">
      <w:rPr>
        <w:sz w:val="22"/>
        <w:szCs w:val="22"/>
        <w:lang w:val="en-US"/>
      </w:rPr>
      <w:t xml:space="preserve"> </w:t>
    </w:r>
  </w:p>
  <w:p w:rsidR="00F06A69" w:rsidRPr="00F06A69" w:rsidRDefault="00F06A69" w:rsidP="00F06A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FFFFFFFB"/>
    <w:lvl w:ilvl="0">
      <w:start w:val="1"/>
      <w:numFmt w:val="upperRoman"/>
      <w:lvlText w:val="%1."/>
      <w:lvlJc w:val="right"/>
      <w:pPr>
        <w:ind w:left="360" w:hanging="360"/>
      </w:pPr>
    </w:lvl>
    <w:lvl w:ilvl="1">
      <w:start w:val="1"/>
      <w:numFmt w:val="upperLetter"/>
      <w:lvlText w:val="%2."/>
      <w:legacy w:legacy="1" w:legacySpace="144" w:legacyIndent="144"/>
      <w:lvlJc w:val="left"/>
    </w:lvl>
    <w:lvl w:ilvl="2">
      <w:start w:val="1"/>
      <w:numFmt w:val="decimal"/>
      <w:lvlText w:val="%3)"/>
      <w:legacy w:legacy="1" w:legacySpace="144" w:legacyIndent="144"/>
      <w:lvlJc w:val="left"/>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1" w15:restartNumberingAfterBreak="0">
    <w:nsid w:val="0A447A48"/>
    <w:multiLevelType w:val="hybridMultilevel"/>
    <w:tmpl w:val="863C4352"/>
    <w:lvl w:ilvl="0" w:tplc="F8603C7A">
      <w:start w:val="1"/>
      <w:numFmt w:val="upperRoman"/>
      <w:lvlText w:val="%1."/>
      <w:lvlJc w:val="left"/>
      <w:pPr>
        <w:ind w:left="795" w:hanging="72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 w15:restartNumberingAfterBreak="0">
    <w:nsid w:val="0FA60DB1"/>
    <w:multiLevelType w:val="hybridMultilevel"/>
    <w:tmpl w:val="EE5AA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473156"/>
    <w:multiLevelType w:val="multilevel"/>
    <w:tmpl w:val="22473156"/>
    <w:lvl w:ilvl="0">
      <w:start w:val="1"/>
      <w:numFmt w:val="upperRoman"/>
      <w:suff w:val="space"/>
      <w:lvlText w:val="%1."/>
      <w:lvlJc w:val="left"/>
      <w:pPr>
        <w:ind w:left="576" w:hanging="576"/>
      </w:pPr>
      <w:rPr>
        <w:rFonts w:ascii="Helvetica" w:hAnsi="Helvetica" w:hint="default"/>
      </w:rPr>
    </w:lvl>
    <w:lvl w:ilvl="1">
      <w:start w:val="1"/>
      <w:numFmt w:val="decimal"/>
      <w:isLgl/>
      <w:suff w:val="space"/>
      <w:lvlText w:val="%1.%2."/>
      <w:lvlJc w:val="left"/>
      <w:pPr>
        <w:ind w:left="1008" w:hanging="1008"/>
      </w:pPr>
      <w:rPr>
        <w:rFonts w:hint="default"/>
      </w:rPr>
    </w:lvl>
    <w:lvl w:ilvl="2">
      <w:start w:val="1"/>
      <w:numFmt w:val="lowerRoman"/>
      <w:lvlText w:val="%3."/>
      <w:lvlJc w:val="right"/>
      <w:pPr>
        <w:ind w:left="1584" w:hanging="360"/>
      </w:pPr>
      <w:rPr>
        <w:rFonts w:hint="default"/>
      </w:rPr>
    </w:lvl>
    <w:lvl w:ilvl="3">
      <w:start w:val="1"/>
      <w:numFmt w:val="decimal"/>
      <w:lvlText w:val="%4."/>
      <w:lvlJc w:val="left"/>
      <w:pPr>
        <w:ind w:left="2016" w:hanging="360"/>
      </w:pPr>
      <w:rPr>
        <w:rFonts w:hint="default"/>
      </w:rPr>
    </w:lvl>
    <w:lvl w:ilvl="4">
      <w:start w:val="1"/>
      <w:numFmt w:val="lowerLetter"/>
      <w:lvlText w:val="%5."/>
      <w:lvlJc w:val="left"/>
      <w:pPr>
        <w:ind w:left="2448" w:hanging="360"/>
      </w:pPr>
      <w:rPr>
        <w:rFonts w:hint="default"/>
      </w:rPr>
    </w:lvl>
    <w:lvl w:ilvl="5">
      <w:start w:val="1"/>
      <w:numFmt w:val="lowerRoman"/>
      <w:lvlText w:val="%6."/>
      <w:lvlJc w:val="right"/>
      <w:pPr>
        <w:ind w:left="2880" w:hanging="360"/>
      </w:pPr>
      <w:rPr>
        <w:rFonts w:hint="default"/>
      </w:rPr>
    </w:lvl>
    <w:lvl w:ilvl="6">
      <w:start w:val="1"/>
      <w:numFmt w:val="decimal"/>
      <w:lvlText w:val="%7."/>
      <w:lvlJc w:val="left"/>
      <w:pPr>
        <w:ind w:left="3312" w:hanging="360"/>
      </w:pPr>
      <w:rPr>
        <w:rFonts w:hint="default"/>
      </w:rPr>
    </w:lvl>
    <w:lvl w:ilvl="7">
      <w:start w:val="1"/>
      <w:numFmt w:val="lowerLetter"/>
      <w:lvlText w:val="%8."/>
      <w:lvlJc w:val="left"/>
      <w:pPr>
        <w:ind w:left="3744" w:hanging="360"/>
      </w:pPr>
      <w:rPr>
        <w:rFonts w:hint="default"/>
      </w:rPr>
    </w:lvl>
    <w:lvl w:ilvl="8">
      <w:start w:val="1"/>
      <w:numFmt w:val="lowerRoman"/>
      <w:lvlText w:val="%9."/>
      <w:lvlJc w:val="right"/>
      <w:pPr>
        <w:ind w:left="4176" w:hanging="360"/>
      </w:pPr>
      <w:rPr>
        <w:rFonts w:hint="default"/>
      </w:rPr>
    </w:lvl>
  </w:abstractNum>
  <w:abstractNum w:abstractNumId="4" w15:restartNumberingAfterBreak="0">
    <w:nsid w:val="2517274C"/>
    <w:multiLevelType w:val="singleLevel"/>
    <w:tmpl w:val="2517274C"/>
    <w:lvl w:ilvl="0">
      <w:start w:val="1"/>
      <w:numFmt w:val="decimal"/>
      <w:lvlText w:val="%1)"/>
      <w:lvlJc w:val="left"/>
      <w:pPr>
        <w:tabs>
          <w:tab w:val="num" w:pos="360"/>
        </w:tabs>
        <w:ind w:left="360" w:hanging="360"/>
      </w:pPr>
    </w:lvl>
  </w:abstractNum>
  <w:abstractNum w:abstractNumId="5" w15:restartNumberingAfterBreak="0">
    <w:nsid w:val="3A877D64"/>
    <w:multiLevelType w:val="singleLevel"/>
    <w:tmpl w:val="3A877D64"/>
    <w:lvl w:ilvl="0">
      <w:start w:val="1"/>
      <w:numFmt w:val="decimal"/>
      <w:lvlText w:val="[%1]"/>
      <w:lvlJc w:val="left"/>
      <w:pPr>
        <w:tabs>
          <w:tab w:val="num" w:pos="360"/>
        </w:tabs>
        <w:ind w:left="360" w:hanging="360"/>
      </w:pPr>
    </w:lvl>
  </w:abstractNum>
  <w:abstractNum w:abstractNumId="6" w15:restartNumberingAfterBreak="0">
    <w:nsid w:val="47124F28"/>
    <w:multiLevelType w:val="hybridMultilevel"/>
    <w:tmpl w:val="DFE63E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553F68"/>
    <w:multiLevelType w:val="multilevel"/>
    <w:tmpl w:val="6C553F6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DC3293B"/>
    <w:multiLevelType w:val="singleLevel"/>
    <w:tmpl w:val="6DC3293B"/>
    <w:lvl w:ilvl="0">
      <w:start w:val="1"/>
      <w:numFmt w:val="decimal"/>
      <w:lvlText w:val="[%1]"/>
      <w:lvlJc w:val="left"/>
      <w:pPr>
        <w:ind w:left="360" w:hanging="360"/>
      </w:pPr>
      <w:rPr>
        <w:rFonts w:ascii="Times New Roman" w:hAnsi="Times New Roman" w:hint="default"/>
        <w:b w:val="0"/>
        <w:i w:val="0"/>
        <w:sz w:val="21"/>
        <w:szCs w:val="16"/>
      </w:rPr>
    </w:lvl>
  </w:abstractNum>
  <w:abstractNum w:abstractNumId="9" w15:restartNumberingAfterBreak="0">
    <w:nsid w:val="751C103A"/>
    <w:multiLevelType w:val="hybridMultilevel"/>
    <w:tmpl w:val="FDECD7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C949F4"/>
    <w:multiLevelType w:val="hybridMultilevel"/>
    <w:tmpl w:val="FFAABD46"/>
    <w:lvl w:ilvl="0" w:tplc="CB561C32">
      <w:start w:val="1"/>
      <w:numFmt w:val="decimal"/>
      <w:lvlText w:val="%1."/>
      <w:lvlJc w:val="left"/>
      <w:pPr>
        <w:ind w:left="570" w:hanging="360"/>
      </w:pPr>
      <w:rPr>
        <w:rFonts w:hint="default"/>
      </w:rPr>
    </w:lvl>
    <w:lvl w:ilvl="1" w:tplc="38090019" w:tentative="1">
      <w:start w:val="1"/>
      <w:numFmt w:val="lowerLetter"/>
      <w:lvlText w:val="%2."/>
      <w:lvlJc w:val="left"/>
      <w:pPr>
        <w:ind w:left="1290" w:hanging="360"/>
      </w:pPr>
    </w:lvl>
    <w:lvl w:ilvl="2" w:tplc="3809001B" w:tentative="1">
      <w:start w:val="1"/>
      <w:numFmt w:val="lowerRoman"/>
      <w:lvlText w:val="%3."/>
      <w:lvlJc w:val="right"/>
      <w:pPr>
        <w:ind w:left="2010" w:hanging="180"/>
      </w:pPr>
    </w:lvl>
    <w:lvl w:ilvl="3" w:tplc="3809000F" w:tentative="1">
      <w:start w:val="1"/>
      <w:numFmt w:val="decimal"/>
      <w:lvlText w:val="%4."/>
      <w:lvlJc w:val="left"/>
      <w:pPr>
        <w:ind w:left="2730" w:hanging="360"/>
      </w:pPr>
    </w:lvl>
    <w:lvl w:ilvl="4" w:tplc="38090019" w:tentative="1">
      <w:start w:val="1"/>
      <w:numFmt w:val="lowerLetter"/>
      <w:lvlText w:val="%5."/>
      <w:lvlJc w:val="left"/>
      <w:pPr>
        <w:ind w:left="3450" w:hanging="360"/>
      </w:pPr>
    </w:lvl>
    <w:lvl w:ilvl="5" w:tplc="3809001B" w:tentative="1">
      <w:start w:val="1"/>
      <w:numFmt w:val="lowerRoman"/>
      <w:lvlText w:val="%6."/>
      <w:lvlJc w:val="right"/>
      <w:pPr>
        <w:ind w:left="4170" w:hanging="180"/>
      </w:pPr>
    </w:lvl>
    <w:lvl w:ilvl="6" w:tplc="3809000F" w:tentative="1">
      <w:start w:val="1"/>
      <w:numFmt w:val="decimal"/>
      <w:lvlText w:val="%7."/>
      <w:lvlJc w:val="left"/>
      <w:pPr>
        <w:ind w:left="4890" w:hanging="360"/>
      </w:pPr>
    </w:lvl>
    <w:lvl w:ilvl="7" w:tplc="38090019" w:tentative="1">
      <w:start w:val="1"/>
      <w:numFmt w:val="lowerLetter"/>
      <w:lvlText w:val="%8."/>
      <w:lvlJc w:val="left"/>
      <w:pPr>
        <w:ind w:left="5610" w:hanging="360"/>
      </w:pPr>
    </w:lvl>
    <w:lvl w:ilvl="8" w:tplc="3809001B" w:tentative="1">
      <w:start w:val="1"/>
      <w:numFmt w:val="lowerRoman"/>
      <w:lvlText w:val="%9."/>
      <w:lvlJc w:val="right"/>
      <w:pPr>
        <w:ind w:left="6330" w:hanging="180"/>
      </w:pPr>
    </w:lvl>
  </w:abstractNum>
  <w:abstractNum w:abstractNumId="11" w15:restartNumberingAfterBreak="0">
    <w:nsid w:val="7F414426"/>
    <w:multiLevelType w:val="hybridMultilevel"/>
    <w:tmpl w:val="3B2C98C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5"/>
  </w:num>
  <w:num w:numId="5">
    <w:abstractNumId w:val="8"/>
  </w:num>
  <w:num w:numId="6">
    <w:abstractNumId w:val="7"/>
  </w:num>
  <w:num w:numId="7">
    <w:abstractNumId w:val="3"/>
  </w:num>
  <w:num w:numId="8">
    <w:abstractNumId w:val="2"/>
  </w:num>
  <w:num w:numId="9">
    <w:abstractNumId w:val="1"/>
  </w:num>
  <w:num w:numId="10">
    <w:abstractNumId w:val="10"/>
  </w:num>
  <w:num w:numId="11">
    <w:abstractNumId w:val="11"/>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0"/>
  <w:doNotHyphenateCaps/>
  <w:evenAndOddHeaders/>
  <w:drawingGridHorizontalSpacing w:val="100"/>
  <w:drawingGridVerticalSpacing w:val="120"/>
  <w:displayHorizontalDrawingGridEvery w:val="0"/>
  <w:displayVerticalDrawingGridEvery w:val="3"/>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64F"/>
    <w:rsid w:val="FE4ECC16"/>
    <w:rsid w:val="00000A3B"/>
    <w:rsid w:val="00000BCE"/>
    <w:rsid w:val="0001029C"/>
    <w:rsid w:val="000139F7"/>
    <w:rsid w:val="00014326"/>
    <w:rsid w:val="000178D4"/>
    <w:rsid w:val="00030FC2"/>
    <w:rsid w:val="000415BD"/>
    <w:rsid w:val="000429F2"/>
    <w:rsid w:val="000436BF"/>
    <w:rsid w:val="00053547"/>
    <w:rsid w:val="000536B8"/>
    <w:rsid w:val="000565BA"/>
    <w:rsid w:val="000620D7"/>
    <w:rsid w:val="00066151"/>
    <w:rsid w:val="00066EF4"/>
    <w:rsid w:val="0007332F"/>
    <w:rsid w:val="00082187"/>
    <w:rsid w:val="00083284"/>
    <w:rsid w:val="000836B0"/>
    <w:rsid w:val="00095AFA"/>
    <w:rsid w:val="000B01A3"/>
    <w:rsid w:val="000B09CF"/>
    <w:rsid w:val="000B1EB9"/>
    <w:rsid w:val="000B1F41"/>
    <w:rsid w:val="000B411D"/>
    <w:rsid w:val="000B6731"/>
    <w:rsid w:val="000B7064"/>
    <w:rsid w:val="000B75C8"/>
    <w:rsid w:val="000B7C2F"/>
    <w:rsid w:val="000C28C4"/>
    <w:rsid w:val="000C2D02"/>
    <w:rsid w:val="000D58AF"/>
    <w:rsid w:val="000E34C3"/>
    <w:rsid w:val="000E6D39"/>
    <w:rsid w:val="000F41EA"/>
    <w:rsid w:val="000F6C91"/>
    <w:rsid w:val="001049CD"/>
    <w:rsid w:val="001133E8"/>
    <w:rsid w:val="00114F45"/>
    <w:rsid w:val="00116AEF"/>
    <w:rsid w:val="00120B48"/>
    <w:rsid w:val="00120DF8"/>
    <w:rsid w:val="001341B9"/>
    <w:rsid w:val="00141E12"/>
    <w:rsid w:val="001447DA"/>
    <w:rsid w:val="00144DF9"/>
    <w:rsid w:val="00144E72"/>
    <w:rsid w:val="00145A2B"/>
    <w:rsid w:val="001461A1"/>
    <w:rsid w:val="00152471"/>
    <w:rsid w:val="00153ADB"/>
    <w:rsid w:val="00161F20"/>
    <w:rsid w:val="0016208B"/>
    <w:rsid w:val="00162267"/>
    <w:rsid w:val="00163EC2"/>
    <w:rsid w:val="001705AD"/>
    <w:rsid w:val="00172121"/>
    <w:rsid w:val="00175A98"/>
    <w:rsid w:val="00182CDB"/>
    <w:rsid w:val="0018371D"/>
    <w:rsid w:val="00183D74"/>
    <w:rsid w:val="0018461A"/>
    <w:rsid w:val="001917E7"/>
    <w:rsid w:val="00193AF2"/>
    <w:rsid w:val="00194984"/>
    <w:rsid w:val="001B276F"/>
    <w:rsid w:val="001B2889"/>
    <w:rsid w:val="001D1635"/>
    <w:rsid w:val="001D78D5"/>
    <w:rsid w:val="001E7EDB"/>
    <w:rsid w:val="001F0284"/>
    <w:rsid w:val="001F6D1B"/>
    <w:rsid w:val="002008D4"/>
    <w:rsid w:val="00200F95"/>
    <w:rsid w:val="0020303F"/>
    <w:rsid w:val="00204216"/>
    <w:rsid w:val="00204FCB"/>
    <w:rsid w:val="002053B9"/>
    <w:rsid w:val="00205D19"/>
    <w:rsid w:val="00210B3F"/>
    <w:rsid w:val="00210C9C"/>
    <w:rsid w:val="00214962"/>
    <w:rsid w:val="00223F8C"/>
    <w:rsid w:val="00225392"/>
    <w:rsid w:val="0022593C"/>
    <w:rsid w:val="0022707D"/>
    <w:rsid w:val="002335CB"/>
    <w:rsid w:val="00233C29"/>
    <w:rsid w:val="002349A6"/>
    <w:rsid w:val="0024229A"/>
    <w:rsid w:val="002434A1"/>
    <w:rsid w:val="00245368"/>
    <w:rsid w:val="0024698C"/>
    <w:rsid w:val="00250E23"/>
    <w:rsid w:val="00260811"/>
    <w:rsid w:val="00260EBC"/>
    <w:rsid w:val="00263477"/>
    <w:rsid w:val="0026665F"/>
    <w:rsid w:val="00281258"/>
    <w:rsid w:val="00282B14"/>
    <w:rsid w:val="00283303"/>
    <w:rsid w:val="00284B57"/>
    <w:rsid w:val="00286454"/>
    <w:rsid w:val="002912FF"/>
    <w:rsid w:val="00293390"/>
    <w:rsid w:val="00295363"/>
    <w:rsid w:val="002A2A0D"/>
    <w:rsid w:val="002A38E4"/>
    <w:rsid w:val="002A4BDF"/>
    <w:rsid w:val="002A56A9"/>
    <w:rsid w:val="002B198C"/>
    <w:rsid w:val="002C0534"/>
    <w:rsid w:val="002C17F6"/>
    <w:rsid w:val="002C2151"/>
    <w:rsid w:val="002C44D5"/>
    <w:rsid w:val="002D0DB9"/>
    <w:rsid w:val="002D3368"/>
    <w:rsid w:val="002E0584"/>
    <w:rsid w:val="002E1B87"/>
    <w:rsid w:val="002E2AFB"/>
    <w:rsid w:val="002E2C4B"/>
    <w:rsid w:val="002E4A13"/>
    <w:rsid w:val="002E4B19"/>
    <w:rsid w:val="002F22FD"/>
    <w:rsid w:val="00303B25"/>
    <w:rsid w:val="00311FF1"/>
    <w:rsid w:val="003158CD"/>
    <w:rsid w:val="00315CB5"/>
    <w:rsid w:val="00317890"/>
    <w:rsid w:val="003207EF"/>
    <w:rsid w:val="00325291"/>
    <w:rsid w:val="00327943"/>
    <w:rsid w:val="00334BA6"/>
    <w:rsid w:val="00337171"/>
    <w:rsid w:val="003401EB"/>
    <w:rsid w:val="00340FEC"/>
    <w:rsid w:val="00341376"/>
    <w:rsid w:val="00342DBB"/>
    <w:rsid w:val="00342FBF"/>
    <w:rsid w:val="00344059"/>
    <w:rsid w:val="00350021"/>
    <w:rsid w:val="003516EA"/>
    <w:rsid w:val="00355FA6"/>
    <w:rsid w:val="00360269"/>
    <w:rsid w:val="00362910"/>
    <w:rsid w:val="00363C50"/>
    <w:rsid w:val="003765F9"/>
    <w:rsid w:val="003853EB"/>
    <w:rsid w:val="00385816"/>
    <w:rsid w:val="00385AEA"/>
    <w:rsid w:val="0038796E"/>
    <w:rsid w:val="003A0FE6"/>
    <w:rsid w:val="003A20BC"/>
    <w:rsid w:val="003A5923"/>
    <w:rsid w:val="003B0A09"/>
    <w:rsid w:val="003B19E0"/>
    <w:rsid w:val="003B230C"/>
    <w:rsid w:val="003B6312"/>
    <w:rsid w:val="003C0E74"/>
    <w:rsid w:val="003C2955"/>
    <w:rsid w:val="003C46EF"/>
    <w:rsid w:val="003D0EA7"/>
    <w:rsid w:val="003D2A8A"/>
    <w:rsid w:val="003D592B"/>
    <w:rsid w:val="003D7A65"/>
    <w:rsid w:val="003E3DAF"/>
    <w:rsid w:val="003E4DD7"/>
    <w:rsid w:val="003F0873"/>
    <w:rsid w:val="003F217B"/>
    <w:rsid w:val="004012CF"/>
    <w:rsid w:val="004020BB"/>
    <w:rsid w:val="00404B81"/>
    <w:rsid w:val="00410366"/>
    <w:rsid w:val="00416E74"/>
    <w:rsid w:val="0042308B"/>
    <w:rsid w:val="0043144F"/>
    <w:rsid w:val="00431BFA"/>
    <w:rsid w:val="0043387B"/>
    <w:rsid w:val="004371B4"/>
    <w:rsid w:val="0044189F"/>
    <w:rsid w:val="00443ACF"/>
    <w:rsid w:val="00443B9D"/>
    <w:rsid w:val="004442FC"/>
    <w:rsid w:val="004502C2"/>
    <w:rsid w:val="0045583E"/>
    <w:rsid w:val="004574E6"/>
    <w:rsid w:val="00462BFA"/>
    <w:rsid w:val="004631BC"/>
    <w:rsid w:val="00463988"/>
    <w:rsid w:val="004648E6"/>
    <w:rsid w:val="0046599B"/>
    <w:rsid w:val="00467F4C"/>
    <w:rsid w:val="00471CF9"/>
    <w:rsid w:val="00481BC6"/>
    <w:rsid w:val="00481ECC"/>
    <w:rsid w:val="00482105"/>
    <w:rsid w:val="00483DE4"/>
    <w:rsid w:val="0048691F"/>
    <w:rsid w:val="004938A5"/>
    <w:rsid w:val="004A15AD"/>
    <w:rsid w:val="004B0830"/>
    <w:rsid w:val="004B3FB4"/>
    <w:rsid w:val="004B5210"/>
    <w:rsid w:val="004C1E16"/>
    <w:rsid w:val="004D4F30"/>
    <w:rsid w:val="004E134D"/>
    <w:rsid w:val="004E58A9"/>
    <w:rsid w:val="004F0B25"/>
    <w:rsid w:val="004F2552"/>
    <w:rsid w:val="004F35ED"/>
    <w:rsid w:val="00506287"/>
    <w:rsid w:val="0050726F"/>
    <w:rsid w:val="0051400D"/>
    <w:rsid w:val="005162B3"/>
    <w:rsid w:val="00520ADA"/>
    <w:rsid w:val="005243CE"/>
    <w:rsid w:val="00524ECB"/>
    <w:rsid w:val="0052746A"/>
    <w:rsid w:val="0053186F"/>
    <w:rsid w:val="00532319"/>
    <w:rsid w:val="00532BDD"/>
    <w:rsid w:val="00532FDE"/>
    <w:rsid w:val="005424AD"/>
    <w:rsid w:val="005424D1"/>
    <w:rsid w:val="0054280E"/>
    <w:rsid w:val="00544532"/>
    <w:rsid w:val="0054497D"/>
    <w:rsid w:val="00546DE3"/>
    <w:rsid w:val="00550A9E"/>
    <w:rsid w:val="005550B4"/>
    <w:rsid w:val="005566F4"/>
    <w:rsid w:val="005760B3"/>
    <w:rsid w:val="00583990"/>
    <w:rsid w:val="00584853"/>
    <w:rsid w:val="00596B0E"/>
    <w:rsid w:val="005A2A15"/>
    <w:rsid w:val="005A71D9"/>
    <w:rsid w:val="005B15E2"/>
    <w:rsid w:val="005B5472"/>
    <w:rsid w:val="005B7519"/>
    <w:rsid w:val="005C1D49"/>
    <w:rsid w:val="005C241C"/>
    <w:rsid w:val="005C3708"/>
    <w:rsid w:val="005C7D71"/>
    <w:rsid w:val="005D5D50"/>
    <w:rsid w:val="005D69A7"/>
    <w:rsid w:val="005E0A27"/>
    <w:rsid w:val="005E0B86"/>
    <w:rsid w:val="005E4CBF"/>
    <w:rsid w:val="005E5018"/>
    <w:rsid w:val="005F459D"/>
    <w:rsid w:val="005F583D"/>
    <w:rsid w:val="00600031"/>
    <w:rsid w:val="00601CA6"/>
    <w:rsid w:val="00601CAF"/>
    <w:rsid w:val="00604F20"/>
    <w:rsid w:val="00615BF9"/>
    <w:rsid w:val="00616D51"/>
    <w:rsid w:val="00623AD2"/>
    <w:rsid w:val="0062472C"/>
    <w:rsid w:val="00624832"/>
    <w:rsid w:val="00624AE5"/>
    <w:rsid w:val="00625E96"/>
    <w:rsid w:val="00632B24"/>
    <w:rsid w:val="006332D7"/>
    <w:rsid w:val="0063419E"/>
    <w:rsid w:val="00636D5D"/>
    <w:rsid w:val="006425D0"/>
    <w:rsid w:val="00645AF2"/>
    <w:rsid w:val="00647562"/>
    <w:rsid w:val="006516BA"/>
    <w:rsid w:val="006544F4"/>
    <w:rsid w:val="006558BC"/>
    <w:rsid w:val="00656913"/>
    <w:rsid w:val="00664AAB"/>
    <w:rsid w:val="00667FBF"/>
    <w:rsid w:val="006720FC"/>
    <w:rsid w:val="0067690F"/>
    <w:rsid w:val="00676F2B"/>
    <w:rsid w:val="0067702F"/>
    <w:rsid w:val="00692142"/>
    <w:rsid w:val="006923E9"/>
    <w:rsid w:val="006B193E"/>
    <w:rsid w:val="006B2144"/>
    <w:rsid w:val="006B5CEF"/>
    <w:rsid w:val="006B7A49"/>
    <w:rsid w:val="006C1E5E"/>
    <w:rsid w:val="006C57C7"/>
    <w:rsid w:val="006C7816"/>
    <w:rsid w:val="006D025C"/>
    <w:rsid w:val="006D0AF3"/>
    <w:rsid w:val="006D5EC5"/>
    <w:rsid w:val="006D78BC"/>
    <w:rsid w:val="006E0569"/>
    <w:rsid w:val="006E0E06"/>
    <w:rsid w:val="006E1819"/>
    <w:rsid w:val="006E2A69"/>
    <w:rsid w:val="006E5169"/>
    <w:rsid w:val="006F592E"/>
    <w:rsid w:val="006F7B21"/>
    <w:rsid w:val="0070167C"/>
    <w:rsid w:val="00710A7E"/>
    <w:rsid w:val="00710E51"/>
    <w:rsid w:val="007113B9"/>
    <w:rsid w:val="00712BCA"/>
    <w:rsid w:val="00712CD8"/>
    <w:rsid w:val="0072252A"/>
    <w:rsid w:val="0072527B"/>
    <w:rsid w:val="00732A94"/>
    <w:rsid w:val="00733A59"/>
    <w:rsid w:val="00734A4A"/>
    <w:rsid w:val="00741B01"/>
    <w:rsid w:val="00743D89"/>
    <w:rsid w:val="00747906"/>
    <w:rsid w:val="00747B94"/>
    <w:rsid w:val="00751562"/>
    <w:rsid w:val="00755A56"/>
    <w:rsid w:val="00756223"/>
    <w:rsid w:val="00760406"/>
    <w:rsid w:val="0077020E"/>
    <w:rsid w:val="00786F69"/>
    <w:rsid w:val="00790273"/>
    <w:rsid w:val="0079063B"/>
    <w:rsid w:val="00797D07"/>
    <w:rsid w:val="007B05F4"/>
    <w:rsid w:val="007B2972"/>
    <w:rsid w:val="007B47C9"/>
    <w:rsid w:val="007B5AD3"/>
    <w:rsid w:val="007C09E2"/>
    <w:rsid w:val="007C3E02"/>
    <w:rsid w:val="007C4336"/>
    <w:rsid w:val="007C7E0C"/>
    <w:rsid w:val="007D0BBC"/>
    <w:rsid w:val="007D295E"/>
    <w:rsid w:val="007D4C37"/>
    <w:rsid w:val="007D7486"/>
    <w:rsid w:val="007E3FE3"/>
    <w:rsid w:val="007E7962"/>
    <w:rsid w:val="007F6A91"/>
    <w:rsid w:val="007F7E55"/>
    <w:rsid w:val="008013D1"/>
    <w:rsid w:val="008044F8"/>
    <w:rsid w:val="008057FF"/>
    <w:rsid w:val="00807D5B"/>
    <w:rsid w:val="0081147E"/>
    <w:rsid w:val="008136B6"/>
    <w:rsid w:val="00813F2C"/>
    <w:rsid w:val="0081442B"/>
    <w:rsid w:val="00815287"/>
    <w:rsid w:val="00816FB2"/>
    <w:rsid w:val="008328DC"/>
    <w:rsid w:val="008365D7"/>
    <w:rsid w:val="00836A56"/>
    <w:rsid w:val="00840C91"/>
    <w:rsid w:val="008451C5"/>
    <w:rsid w:val="00845D98"/>
    <w:rsid w:val="00847DFD"/>
    <w:rsid w:val="00860882"/>
    <w:rsid w:val="008656CE"/>
    <w:rsid w:val="00866A5F"/>
    <w:rsid w:val="008710A2"/>
    <w:rsid w:val="00876354"/>
    <w:rsid w:val="0087792E"/>
    <w:rsid w:val="00881F0C"/>
    <w:rsid w:val="0088220E"/>
    <w:rsid w:val="008828B4"/>
    <w:rsid w:val="008852DF"/>
    <w:rsid w:val="008B7EA9"/>
    <w:rsid w:val="008C0563"/>
    <w:rsid w:val="008C299E"/>
    <w:rsid w:val="008D0769"/>
    <w:rsid w:val="008D0E11"/>
    <w:rsid w:val="008D2F1B"/>
    <w:rsid w:val="008D37AE"/>
    <w:rsid w:val="008D394E"/>
    <w:rsid w:val="008D564C"/>
    <w:rsid w:val="008E09EB"/>
    <w:rsid w:val="008E14D8"/>
    <w:rsid w:val="008E2389"/>
    <w:rsid w:val="008F2A7C"/>
    <w:rsid w:val="008F415A"/>
    <w:rsid w:val="008F4FF4"/>
    <w:rsid w:val="008F5C71"/>
    <w:rsid w:val="008F67A7"/>
    <w:rsid w:val="009066F2"/>
    <w:rsid w:val="00916F54"/>
    <w:rsid w:val="0092016E"/>
    <w:rsid w:val="009228D5"/>
    <w:rsid w:val="00927504"/>
    <w:rsid w:val="00927CFB"/>
    <w:rsid w:val="00932521"/>
    <w:rsid w:val="0093299C"/>
    <w:rsid w:val="00935440"/>
    <w:rsid w:val="00937944"/>
    <w:rsid w:val="00945C8A"/>
    <w:rsid w:val="009528BE"/>
    <w:rsid w:val="0095350B"/>
    <w:rsid w:val="0096071F"/>
    <w:rsid w:val="00961205"/>
    <w:rsid w:val="0096164F"/>
    <w:rsid w:val="009633F6"/>
    <w:rsid w:val="009638F7"/>
    <w:rsid w:val="00963985"/>
    <w:rsid w:val="00965F93"/>
    <w:rsid w:val="009704D9"/>
    <w:rsid w:val="009731DD"/>
    <w:rsid w:val="00973B68"/>
    <w:rsid w:val="00984C3B"/>
    <w:rsid w:val="0098505B"/>
    <w:rsid w:val="009861BF"/>
    <w:rsid w:val="00992361"/>
    <w:rsid w:val="009A1D5F"/>
    <w:rsid w:val="009A2FD0"/>
    <w:rsid w:val="009A46B4"/>
    <w:rsid w:val="009A4D68"/>
    <w:rsid w:val="009A6BD0"/>
    <w:rsid w:val="009B05A5"/>
    <w:rsid w:val="009B3DD6"/>
    <w:rsid w:val="009B52F9"/>
    <w:rsid w:val="009B6681"/>
    <w:rsid w:val="009C319C"/>
    <w:rsid w:val="009C4958"/>
    <w:rsid w:val="009D28EF"/>
    <w:rsid w:val="009D4C20"/>
    <w:rsid w:val="009E13B9"/>
    <w:rsid w:val="009F0145"/>
    <w:rsid w:val="009F17D6"/>
    <w:rsid w:val="00A01FDA"/>
    <w:rsid w:val="00A0779B"/>
    <w:rsid w:val="00A16FDE"/>
    <w:rsid w:val="00A2023E"/>
    <w:rsid w:val="00A22468"/>
    <w:rsid w:val="00A23E7D"/>
    <w:rsid w:val="00A32D69"/>
    <w:rsid w:val="00A3356E"/>
    <w:rsid w:val="00A36D95"/>
    <w:rsid w:val="00A37731"/>
    <w:rsid w:val="00A37CFF"/>
    <w:rsid w:val="00A4132C"/>
    <w:rsid w:val="00A41C4C"/>
    <w:rsid w:val="00A45749"/>
    <w:rsid w:val="00A50523"/>
    <w:rsid w:val="00A50D7D"/>
    <w:rsid w:val="00A622E3"/>
    <w:rsid w:val="00A63746"/>
    <w:rsid w:val="00A63860"/>
    <w:rsid w:val="00A63E57"/>
    <w:rsid w:val="00A64F1A"/>
    <w:rsid w:val="00A70C90"/>
    <w:rsid w:val="00A71BF4"/>
    <w:rsid w:val="00A8722A"/>
    <w:rsid w:val="00A872B3"/>
    <w:rsid w:val="00A92A18"/>
    <w:rsid w:val="00A9468C"/>
    <w:rsid w:val="00A954A6"/>
    <w:rsid w:val="00A9738D"/>
    <w:rsid w:val="00AA07F3"/>
    <w:rsid w:val="00AA0DDB"/>
    <w:rsid w:val="00AA1C3F"/>
    <w:rsid w:val="00AA795A"/>
    <w:rsid w:val="00AB4442"/>
    <w:rsid w:val="00AB78E4"/>
    <w:rsid w:val="00AC567B"/>
    <w:rsid w:val="00AD1821"/>
    <w:rsid w:val="00AE1508"/>
    <w:rsid w:val="00AE7E9F"/>
    <w:rsid w:val="00AF1D91"/>
    <w:rsid w:val="00AF318A"/>
    <w:rsid w:val="00AF5087"/>
    <w:rsid w:val="00AF76EC"/>
    <w:rsid w:val="00B00AA6"/>
    <w:rsid w:val="00B00F9A"/>
    <w:rsid w:val="00B010E2"/>
    <w:rsid w:val="00B05158"/>
    <w:rsid w:val="00B06DAD"/>
    <w:rsid w:val="00B125BA"/>
    <w:rsid w:val="00B14A82"/>
    <w:rsid w:val="00B15E5B"/>
    <w:rsid w:val="00B20A9A"/>
    <w:rsid w:val="00B236E2"/>
    <w:rsid w:val="00B26434"/>
    <w:rsid w:val="00B36087"/>
    <w:rsid w:val="00B4424D"/>
    <w:rsid w:val="00B52A73"/>
    <w:rsid w:val="00B5468F"/>
    <w:rsid w:val="00B56664"/>
    <w:rsid w:val="00B72B36"/>
    <w:rsid w:val="00B73094"/>
    <w:rsid w:val="00B76076"/>
    <w:rsid w:val="00B76985"/>
    <w:rsid w:val="00B7721B"/>
    <w:rsid w:val="00B77DFB"/>
    <w:rsid w:val="00B80A9F"/>
    <w:rsid w:val="00B80BAE"/>
    <w:rsid w:val="00B82DA3"/>
    <w:rsid w:val="00B851C9"/>
    <w:rsid w:val="00BA703E"/>
    <w:rsid w:val="00BA7767"/>
    <w:rsid w:val="00BB3410"/>
    <w:rsid w:val="00BB74F4"/>
    <w:rsid w:val="00BC0332"/>
    <w:rsid w:val="00BC0861"/>
    <w:rsid w:val="00BC1407"/>
    <w:rsid w:val="00BC56B3"/>
    <w:rsid w:val="00BD3453"/>
    <w:rsid w:val="00BD4447"/>
    <w:rsid w:val="00BD45B3"/>
    <w:rsid w:val="00BD52B9"/>
    <w:rsid w:val="00BD7844"/>
    <w:rsid w:val="00BF61F8"/>
    <w:rsid w:val="00BF68DE"/>
    <w:rsid w:val="00C00D72"/>
    <w:rsid w:val="00C00F4F"/>
    <w:rsid w:val="00C050AE"/>
    <w:rsid w:val="00C06741"/>
    <w:rsid w:val="00C06ED7"/>
    <w:rsid w:val="00C06EF1"/>
    <w:rsid w:val="00C1279B"/>
    <w:rsid w:val="00C13CE3"/>
    <w:rsid w:val="00C24C6F"/>
    <w:rsid w:val="00C30A8F"/>
    <w:rsid w:val="00C3114B"/>
    <w:rsid w:val="00C31DED"/>
    <w:rsid w:val="00C33D92"/>
    <w:rsid w:val="00C41AD4"/>
    <w:rsid w:val="00C42224"/>
    <w:rsid w:val="00C47A33"/>
    <w:rsid w:val="00C47F70"/>
    <w:rsid w:val="00C60552"/>
    <w:rsid w:val="00C660BA"/>
    <w:rsid w:val="00C7186A"/>
    <w:rsid w:val="00C718C4"/>
    <w:rsid w:val="00C73E21"/>
    <w:rsid w:val="00C778E1"/>
    <w:rsid w:val="00C80E7E"/>
    <w:rsid w:val="00C81192"/>
    <w:rsid w:val="00C924D8"/>
    <w:rsid w:val="00C96A51"/>
    <w:rsid w:val="00C97C17"/>
    <w:rsid w:val="00CA773D"/>
    <w:rsid w:val="00CB4B8D"/>
    <w:rsid w:val="00CC0857"/>
    <w:rsid w:val="00CC0DCC"/>
    <w:rsid w:val="00CC1EF9"/>
    <w:rsid w:val="00CC243B"/>
    <w:rsid w:val="00CD1BE1"/>
    <w:rsid w:val="00CD4143"/>
    <w:rsid w:val="00CE3896"/>
    <w:rsid w:val="00CE4FC2"/>
    <w:rsid w:val="00CF0645"/>
    <w:rsid w:val="00CF4206"/>
    <w:rsid w:val="00D028D1"/>
    <w:rsid w:val="00D05FAD"/>
    <w:rsid w:val="00D16D4C"/>
    <w:rsid w:val="00D20A70"/>
    <w:rsid w:val="00D247A3"/>
    <w:rsid w:val="00D3364D"/>
    <w:rsid w:val="00D34105"/>
    <w:rsid w:val="00D36688"/>
    <w:rsid w:val="00D42CD4"/>
    <w:rsid w:val="00D45195"/>
    <w:rsid w:val="00D474B8"/>
    <w:rsid w:val="00D47626"/>
    <w:rsid w:val="00D558FA"/>
    <w:rsid w:val="00D567A9"/>
    <w:rsid w:val="00D56935"/>
    <w:rsid w:val="00D63FE3"/>
    <w:rsid w:val="00D652FA"/>
    <w:rsid w:val="00D677C7"/>
    <w:rsid w:val="00D7381E"/>
    <w:rsid w:val="00D758C6"/>
    <w:rsid w:val="00D76131"/>
    <w:rsid w:val="00D82CA2"/>
    <w:rsid w:val="00D904DB"/>
    <w:rsid w:val="00D90B58"/>
    <w:rsid w:val="00D90E4E"/>
    <w:rsid w:val="00D950A3"/>
    <w:rsid w:val="00D95618"/>
    <w:rsid w:val="00D957FC"/>
    <w:rsid w:val="00DA0C2D"/>
    <w:rsid w:val="00DA1099"/>
    <w:rsid w:val="00DA6294"/>
    <w:rsid w:val="00DB67A5"/>
    <w:rsid w:val="00DC4BA8"/>
    <w:rsid w:val="00DC5518"/>
    <w:rsid w:val="00DC7425"/>
    <w:rsid w:val="00DD23C0"/>
    <w:rsid w:val="00DE56B2"/>
    <w:rsid w:val="00DE6CE5"/>
    <w:rsid w:val="00DF2384"/>
    <w:rsid w:val="00DF2DDE"/>
    <w:rsid w:val="00DF3E28"/>
    <w:rsid w:val="00E00472"/>
    <w:rsid w:val="00E041C7"/>
    <w:rsid w:val="00E04EC1"/>
    <w:rsid w:val="00E11799"/>
    <w:rsid w:val="00E12E15"/>
    <w:rsid w:val="00E17A95"/>
    <w:rsid w:val="00E241BE"/>
    <w:rsid w:val="00E25714"/>
    <w:rsid w:val="00E2627E"/>
    <w:rsid w:val="00E2638E"/>
    <w:rsid w:val="00E26AE8"/>
    <w:rsid w:val="00E36948"/>
    <w:rsid w:val="00E40EFA"/>
    <w:rsid w:val="00E4767A"/>
    <w:rsid w:val="00E50DF6"/>
    <w:rsid w:val="00E57A93"/>
    <w:rsid w:val="00E62758"/>
    <w:rsid w:val="00E62F5F"/>
    <w:rsid w:val="00E63699"/>
    <w:rsid w:val="00E7657A"/>
    <w:rsid w:val="00E824F0"/>
    <w:rsid w:val="00E82556"/>
    <w:rsid w:val="00E84B0F"/>
    <w:rsid w:val="00E9126D"/>
    <w:rsid w:val="00E925FE"/>
    <w:rsid w:val="00E944B8"/>
    <w:rsid w:val="00E94669"/>
    <w:rsid w:val="00E96631"/>
    <w:rsid w:val="00E97402"/>
    <w:rsid w:val="00EA3D52"/>
    <w:rsid w:val="00EA4441"/>
    <w:rsid w:val="00EA500C"/>
    <w:rsid w:val="00EA586D"/>
    <w:rsid w:val="00EB4496"/>
    <w:rsid w:val="00EC4AA8"/>
    <w:rsid w:val="00ED0B8A"/>
    <w:rsid w:val="00ED5E38"/>
    <w:rsid w:val="00EE1A7D"/>
    <w:rsid w:val="00EE2F10"/>
    <w:rsid w:val="00EE71CB"/>
    <w:rsid w:val="00EE79FA"/>
    <w:rsid w:val="00EF09C3"/>
    <w:rsid w:val="00EF0D39"/>
    <w:rsid w:val="00EF1DE9"/>
    <w:rsid w:val="00EF1FF6"/>
    <w:rsid w:val="00EF6D44"/>
    <w:rsid w:val="00F02E28"/>
    <w:rsid w:val="00F06A69"/>
    <w:rsid w:val="00F234CF"/>
    <w:rsid w:val="00F237D2"/>
    <w:rsid w:val="00F25B6F"/>
    <w:rsid w:val="00F32007"/>
    <w:rsid w:val="00F34B91"/>
    <w:rsid w:val="00F35F1D"/>
    <w:rsid w:val="00F40DA4"/>
    <w:rsid w:val="00F52774"/>
    <w:rsid w:val="00F55C15"/>
    <w:rsid w:val="00F57DF6"/>
    <w:rsid w:val="00F65266"/>
    <w:rsid w:val="00F65DA4"/>
    <w:rsid w:val="00F66129"/>
    <w:rsid w:val="00F67A88"/>
    <w:rsid w:val="00F7756B"/>
    <w:rsid w:val="00F77D5E"/>
    <w:rsid w:val="00F77F85"/>
    <w:rsid w:val="00F80677"/>
    <w:rsid w:val="00F83758"/>
    <w:rsid w:val="00FA09DA"/>
    <w:rsid w:val="00FA1503"/>
    <w:rsid w:val="00FB28B7"/>
    <w:rsid w:val="00FB302D"/>
    <w:rsid w:val="00FB56BF"/>
    <w:rsid w:val="00FB628E"/>
    <w:rsid w:val="00FB6523"/>
    <w:rsid w:val="00FB7983"/>
    <w:rsid w:val="00FC5E08"/>
    <w:rsid w:val="00FC5F8D"/>
    <w:rsid w:val="00FC63DB"/>
    <w:rsid w:val="00FD1C96"/>
    <w:rsid w:val="00FD5BC8"/>
    <w:rsid w:val="00FE0F82"/>
    <w:rsid w:val="00FE2BB0"/>
    <w:rsid w:val="00FF1246"/>
    <w:rsid w:val="00FF466D"/>
    <w:rsid w:val="00FF4E88"/>
    <w:rsid w:val="26F616A7"/>
    <w:rsid w:val="4C844E5E"/>
    <w:rsid w:val="56C64B97"/>
    <w:rsid w:val="6255450F"/>
    <w:rsid w:val="72885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02E5CE0-6D53-4D75-A6A2-537A2D71D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8D5"/>
    <w:rPr>
      <w:lang w:val="id-ID"/>
    </w:rPr>
  </w:style>
  <w:style w:type="paragraph" w:styleId="Heading1">
    <w:name w:val="heading 1"/>
    <w:aliases w:val="Flux Heading1"/>
    <w:basedOn w:val="Fluxisi"/>
    <w:next w:val="Fluxisi"/>
    <w:qFormat/>
    <w:rsid w:val="00443ACF"/>
    <w:pPr>
      <w:keepNext/>
      <w:tabs>
        <w:tab w:val="left" w:pos="426"/>
      </w:tabs>
      <w:ind w:firstLine="0"/>
      <w:jc w:val="left"/>
      <w:outlineLvl w:val="0"/>
    </w:pPr>
    <w:rPr>
      <w:b/>
      <w:smallCaps/>
      <w:kern w:val="28"/>
    </w:rPr>
  </w:style>
  <w:style w:type="paragraph" w:styleId="Heading2">
    <w:name w:val="heading 2"/>
    <w:aliases w:val="Flux Heading2"/>
    <w:basedOn w:val="Fluxisi"/>
    <w:next w:val="Fluxisi"/>
    <w:qFormat/>
    <w:rsid w:val="009228D5"/>
    <w:pPr>
      <w:keepNext/>
      <w:spacing w:before="60" w:after="60"/>
      <w:ind w:left="1008" w:hanging="1008"/>
      <w:jc w:val="left"/>
      <w:outlineLvl w:val="1"/>
    </w:pPr>
    <w:rPr>
      <w:i/>
      <w:iCs/>
    </w:rPr>
  </w:style>
  <w:style w:type="paragraph" w:styleId="Heading3">
    <w:name w:val="heading 3"/>
    <w:basedOn w:val="Normal"/>
    <w:next w:val="Normal"/>
    <w:qFormat/>
    <w:rsid w:val="009228D5"/>
    <w:pPr>
      <w:keepNext/>
      <w:ind w:left="288"/>
      <w:outlineLvl w:val="2"/>
    </w:pPr>
    <w:rPr>
      <w:i/>
      <w:iCs/>
    </w:rPr>
  </w:style>
  <w:style w:type="paragraph" w:styleId="Heading4">
    <w:name w:val="heading 4"/>
    <w:basedOn w:val="Normal"/>
    <w:next w:val="Normal"/>
    <w:qFormat/>
    <w:rsid w:val="009228D5"/>
    <w:pPr>
      <w:keepNext/>
      <w:spacing w:before="240" w:after="60"/>
      <w:ind w:left="1152" w:hanging="720"/>
      <w:outlineLvl w:val="3"/>
    </w:pPr>
    <w:rPr>
      <w:i/>
      <w:iCs/>
      <w:sz w:val="18"/>
      <w:szCs w:val="18"/>
    </w:rPr>
  </w:style>
  <w:style w:type="paragraph" w:styleId="Heading5">
    <w:name w:val="heading 5"/>
    <w:basedOn w:val="Normal"/>
    <w:next w:val="Normal"/>
    <w:qFormat/>
    <w:rsid w:val="009228D5"/>
    <w:pPr>
      <w:spacing w:before="240" w:after="60"/>
      <w:ind w:left="1872" w:hanging="720"/>
      <w:outlineLvl w:val="4"/>
    </w:pPr>
    <w:rPr>
      <w:sz w:val="18"/>
      <w:szCs w:val="18"/>
    </w:rPr>
  </w:style>
  <w:style w:type="paragraph" w:styleId="Heading6">
    <w:name w:val="heading 6"/>
    <w:basedOn w:val="Normal"/>
    <w:next w:val="Normal"/>
    <w:qFormat/>
    <w:rsid w:val="009228D5"/>
    <w:pPr>
      <w:spacing w:before="240" w:after="60"/>
      <w:ind w:left="2592" w:hanging="720"/>
      <w:outlineLvl w:val="5"/>
    </w:pPr>
    <w:rPr>
      <w:i/>
      <w:iCs/>
      <w:sz w:val="16"/>
      <w:szCs w:val="16"/>
    </w:rPr>
  </w:style>
  <w:style w:type="paragraph" w:styleId="Heading7">
    <w:name w:val="heading 7"/>
    <w:basedOn w:val="Normal"/>
    <w:next w:val="Normal"/>
    <w:qFormat/>
    <w:rsid w:val="009228D5"/>
    <w:pPr>
      <w:spacing w:before="240" w:after="60"/>
      <w:ind w:left="3312" w:hanging="720"/>
      <w:outlineLvl w:val="6"/>
    </w:pPr>
    <w:rPr>
      <w:sz w:val="16"/>
      <w:szCs w:val="16"/>
    </w:rPr>
  </w:style>
  <w:style w:type="paragraph" w:styleId="Heading8">
    <w:name w:val="heading 8"/>
    <w:basedOn w:val="Normal"/>
    <w:next w:val="Normal"/>
    <w:qFormat/>
    <w:rsid w:val="009228D5"/>
    <w:pPr>
      <w:spacing w:before="240" w:after="60"/>
      <w:ind w:left="4032" w:hanging="720"/>
      <w:outlineLvl w:val="7"/>
    </w:pPr>
    <w:rPr>
      <w:i/>
      <w:iCs/>
      <w:sz w:val="16"/>
      <w:szCs w:val="16"/>
    </w:rPr>
  </w:style>
  <w:style w:type="paragraph" w:styleId="Heading9">
    <w:name w:val="heading 9"/>
    <w:basedOn w:val="Normal"/>
    <w:next w:val="Normal"/>
    <w:qFormat/>
    <w:rsid w:val="009228D5"/>
    <w:pPr>
      <w:spacing w:before="240" w:after="60"/>
      <w:ind w:left="4752" w:hanging="72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9228D5"/>
  </w:style>
  <w:style w:type="character" w:styleId="FollowedHyperlink">
    <w:name w:val="FollowedHyperlink"/>
    <w:rsid w:val="009228D5"/>
    <w:rPr>
      <w:color w:val="800080"/>
      <w:u w:val="single"/>
    </w:rPr>
  </w:style>
  <w:style w:type="character" w:styleId="Hyperlink">
    <w:name w:val="Hyperlink"/>
    <w:rsid w:val="009228D5"/>
    <w:rPr>
      <w:color w:val="0000FF"/>
      <w:u w:val="single"/>
    </w:rPr>
  </w:style>
  <w:style w:type="character" w:customStyle="1" w:styleId="FluxFrameTChar">
    <w:name w:val="Flux FrameT Char"/>
    <w:basedOn w:val="FluxisiChar1"/>
    <w:link w:val="FluxFrameT"/>
    <w:rsid w:val="009228D5"/>
    <w:rPr>
      <w:rFonts w:ascii="Palatino Linotype" w:hAnsi="Palatino Linotype"/>
      <w:sz w:val="16"/>
      <w:szCs w:val="16"/>
      <w:lang w:val="id-ID"/>
    </w:rPr>
  </w:style>
  <w:style w:type="character" w:customStyle="1" w:styleId="FluxemailkorespondenChar">
    <w:name w:val="Flux email koresponden Char"/>
    <w:basedOn w:val="FluxafiliasiChar"/>
    <w:link w:val="Fluxemailkoresponden"/>
    <w:rsid w:val="00961205"/>
    <w:rPr>
      <w:rFonts w:ascii="Palatino Linotype" w:hAnsi="Palatino Linotype"/>
      <w:b/>
      <w:bCs/>
      <w:sz w:val="22"/>
      <w:szCs w:val="19"/>
      <w:lang w:val="id-ID"/>
    </w:rPr>
  </w:style>
  <w:style w:type="character" w:customStyle="1" w:styleId="A5">
    <w:name w:val="A5"/>
    <w:rsid w:val="009228D5"/>
    <w:rPr>
      <w:color w:val="00529F"/>
      <w:sz w:val="20"/>
      <w:szCs w:val="20"/>
    </w:rPr>
  </w:style>
  <w:style w:type="character" w:customStyle="1" w:styleId="FluxDPustakaChar">
    <w:name w:val="Flux DPustaka Char"/>
    <w:basedOn w:val="DefaultParagraphFont"/>
    <w:link w:val="FluxDPustaka"/>
    <w:rsid w:val="009228D5"/>
    <w:rPr>
      <w:sz w:val="21"/>
      <w:szCs w:val="16"/>
      <w:lang w:val="id-ID"/>
    </w:rPr>
  </w:style>
  <w:style w:type="character" w:customStyle="1" w:styleId="FluxkatakunciChar">
    <w:name w:val="Flux kata kunci Char"/>
    <w:basedOn w:val="FluxAbstrakChar1"/>
    <w:link w:val="Fluxkatakunci"/>
    <w:rsid w:val="00961205"/>
    <w:rPr>
      <w:rFonts w:ascii="Palatino Linotype" w:hAnsi="Palatino Linotype"/>
      <w:b w:val="0"/>
      <w:bCs/>
      <w:i/>
      <w:sz w:val="18"/>
      <w:szCs w:val="19"/>
      <w:lang w:val="id-ID"/>
    </w:rPr>
  </w:style>
  <w:style w:type="character" w:customStyle="1" w:styleId="FluxpenulisChar">
    <w:name w:val="Flux penulis Char"/>
    <w:basedOn w:val="FluxAbstrakChar1"/>
    <w:link w:val="Fluxpenulis"/>
    <w:rsid w:val="00961205"/>
    <w:rPr>
      <w:rFonts w:ascii="Palatino Linotype" w:hAnsi="Palatino Linotype"/>
      <w:b/>
      <w:bCs/>
      <w:sz w:val="22"/>
      <w:szCs w:val="19"/>
      <w:lang w:val="id-ID"/>
    </w:rPr>
  </w:style>
  <w:style w:type="character" w:customStyle="1" w:styleId="FluxGambarChar">
    <w:name w:val="Flux Gambar Char"/>
    <w:basedOn w:val="FootnoteTextChar"/>
    <w:link w:val="FluxGambar"/>
    <w:rsid w:val="00443ACF"/>
    <w:rPr>
      <w:rFonts w:ascii="Palatino Linotype" w:hAnsi="Palatino Linotype"/>
      <w:b/>
      <w:sz w:val="16"/>
      <w:szCs w:val="16"/>
      <w:lang w:val="id-ID"/>
    </w:rPr>
  </w:style>
  <w:style w:type="character" w:customStyle="1" w:styleId="AbstractChar">
    <w:name w:val="Abstract Char"/>
    <w:basedOn w:val="DefaultParagraphFont"/>
    <w:link w:val="Abstract"/>
    <w:rsid w:val="009228D5"/>
    <w:rPr>
      <w:b/>
      <w:bCs/>
      <w:sz w:val="18"/>
      <w:szCs w:val="18"/>
    </w:rPr>
  </w:style>
  <w:style w:type="character" w:styleId="FootnoteReference">
    <w:name w:val="footnote reference"/>
    <w:semiHidden/>
    <w:rsid w:val="009228D5"/>
    <w:rPr>
      <w:vertAlign w:val="superscript"/>
    </w:rPr>
  </w:style>
  <w:style w:type="character" w:customStyle="1" w:styleId="FluxAbstrakChar">
    <w:name w:val="Flux Abstrak Char"/>
    <w:basedOn w:val="AbstractChar"/>
    <w:rsid w:val="009228D5"/>
    <w:rPr>
      <w:b/>
      <w:bCs/>
      <w:sz w:val="18"/>
      <w:szCs w:val="18"/>
    </w:rPr>
  </w:style>
  <w:style w:type="character" w:customStyle="1" w:styleId="FluxisiChar1">
    <w:name w:val="Flux isi Char1"/>
    <w:basedOn w:val="TextChar"/>
    <w:rsid w:val="009228D5"/>
    <w:rPr>
      <w:rFonts w:ascii="Palatino Linotype" w:hAnsi="Palatino Linotype"/>
      <w:sz w:val="22"/>
      <w:lang w:val="id-ID"/>
    </w:rPr>
  </w:style>
  <w:style w:type="character" w:customStyle="1" w:styleId="FluxAbstrakChar1">
    <w:name w:val="Flux Abstrak Char1"/>
    <w:basedOn w:val="AbstractChar"/>
    <w:link w:val="FluxAbstrak"/>
    <w:rsid w:val="00961205"/>
    <w:rPr>
      <w:rFonts w:ascii="Palatino Linotype" w:hAnsi="Palatino Linotype"/>
      <w:b w:val="0"/>
      <w:bCs/>
      <w:sz w:val="18"/>
      <w:szCs w:val="19"/>
      <w:lang w:val="id-ID"/>
    </w:rPr>
  </w:style>
  <w:style w:type="character" w:customStyle="1" w:styleId="PersamaanChar">
    <w:name w:val="Persamaan Char"/>
    <w:basedOn w:val="DefaultParagraphFont"/>
    <w:link w:val="Persamaan"/>
    <w:rsid w:val="009228D5"/>
  </w:style>
  <w:style w:type="character" w:customStyle="1" w:styleId="FluxIsiNomorChar">
    <w:name w:val="Flux Isi Nomor Char"/>
    <w:basedOn w:val="FluxisiChar1"/>
    <w:link w:val="FluxIsiNomor"/>
    <w:rsid w:val="009228D5"/>
    <w:rPr>
      <w:rFonts w:ascii="Palatino Linotype" w:hAnsi="Palatino Linotype"/>
      <w:sz w:val="22"/>
      <w:szCs w:val="22"/>
      <w:lang w:val="id-ID"/>
    </w:rPr>
  </w:style>
  <w:style w:type="character" w:customStyle="1" w:styleId="FluxKetTabelChar">
    <w:name w:val="Flux KetTabel Char"/>
    <w:basedOn w:val="FootnoteTextChar"/>
    <w:link w:val="FluxKetTabel"/>
    <w:rsid w:val="009228D5"/>
    <w:rPr>
      <w:rFonts w:ascii="Palatino Linotype" w:hAnsi="Palatino Linotype"/>
      <w:sz w:val="18"/>
      <w:szCs w:val="18"/>
      <w:lang w:val="id-ID"/>
    </w:rPr>
  </w:style>
  <w:style w:type="character" w:customStyle="1" w:styleId="FluxFrameBesarChar">
    <w:name w:val="Flux Frame Besar Char"/>
    <w:basedOn w:val="FluxisiChar1"/>
    <w:link w:val="FluxFrameBesar"/>
    <w:rsid w:val="009228D5"/>
    <w:rPr>
      <w:rFonts w:ascii="Palatino Linotype" w:hAnsi="Palatino Linotype"/>
      <w:sz w:val="18"/>
      <w:szCs w:val="18"/>
      <w:lang w:val="id-ID"/>
    </w:rPr>
  </w:style>
  <w:style w:type="character" w:customStyle="1" w:styleId="CaptionChar">
    <w:name w:val="Caption Char"/>
    <w:basedOn w:val="DefaultParagraphFont"/>
    <w:link w:val="Caption"/>
    <w:rsid w:val="009228D5"/>
    <w:rPr>
      <w:rFonts w:ascii="Palatino Linotype" w:hAnsi="Palatino Linotype"/>
      <w:b/>
      <w:bCs/>
      <w:sz w:val="18"/>
      <w:lang w:val="id-ID"/>
    </w:rPr>
  </w:style>
  <w:style w:type="character" w:customStyle="1" w:styleId="FluxisiChar">
    <w:name w:val="Flux isi Char"/>
    <w:basedOn w:val="TextChar"/>
    <w:link w:val="Fluxisi"/>
    <w:rsid w:val="00443ACF"/>
    <w:rPr>
      <w:rFonts w:ascii="Palatino Linotype" w:hAnsi="Palatino Linotype"/>
      <w:sz w:val="22"/>
      <w:lang w:val="id-ID"/>
    </w:rPr>
  </w:style>
  <w:style w:type="character" w:customStyle="1" w:styleId="FluxFrameGChar">
    <w:name w:val="Flux FrameG Char"/>
    <w:basedOn w:val="FluxisiChar1"/>
    <w:link w:val="FluxFrameG"/>
    <w:rsid w:val="009228D5"/>
    <w:rPr>
      <w:rFonts w:ascii="Palatino Linotype" w:hAnsi="Palatino Linotype"/>
      <w:sz w:val="22"/>
      <w:lang w:val="id-ID"/>
    </w:rPr>
  </w:style>
  <w:style w:type="character" w:customStyle="1" w:styleId="FluxTCaptionChar">
    <w:name w:val="Flux TCaption Char"/>
    <w:basedOn w:val="CaptionChar"/>
    <w:link w:val="FluxTCaption"/>
    <w:rsid w:val="009228D5"/>
    <w:rPr>
      <w:rFonts w:ascii="Palatino Linotype" w:hAnsi="Palatino Linotype"/>
      <w:b/>
      <w:bCs/>
      <w:sz w:val="18"/>
      <w:lang w:val="id-ID"/>
    </w:rPr>
  </w:style>
  <w:style w:type="character" w:customStyle="1" w:styleId="FootnoteTextChar">
    <w:name w:val="Footnote Text Char"/>
    <w:basedOn w:val="DefaultParagraphFont"/>
    <w:link w:val="FootnoteText"/>
    <w:semiHidden/>
    <w:rsid w:val="009228D5"/>
    <w:rPr>
      <w:sz w:val="16"/>
      <w:szCs w:val="16"/>
    </w:rPr>
  </w:style>
  <w:style w:type="character" w:customStyle="1" w:styleId="FluxJudulChar">
    <w:name w:val="Flux Judul Char"/>
    <w:basedOn w:val="FluxAbstrakChar1"/>
    <w:link w:val="FluxJudul"/>
    <w:rsid w:val="00263477"/>
    <w:rPr>
      <w:rFonts w:ascii="Palatino Linotype" w:hAnsi="Palatino Linotype"/>
      <w:b w:val="0"/>
      <w:bCs/>
      <w:sz w:val="32"/>
      <w:szCs w:val="18"/>
      <w:lang w:val="id-ID"/>
    </w:rPr>
  </w:style>
  <w:style w:type="character" w:customStyle="1" w:styleId="FluxHeading3Char">
    <w:name w:val="Flux Heading3 Char"/>
    <w:basedOn w:val="DefaultParagraphFont"/>
    <w:link w:val="FluxHeading3"/>
    <w:rsid w:val="00B125BA"/>
    <w:rPr>
      <w:rFonts w:ascii="Palatino Linotype" w:hAnsi="Palatino Linotype"/>
      <w:i/>
      <w:sz w:val="22"/>
      <w:lang w:val="id-ID"/>
    </w:rPr>
  </w:style>
  <w:style w:type="character" w:customStyle="1" w:styleId="FluxHalamanChar">
    <w:name w:val="Flux Halaman Char"/>
    <w:basedOn w:val="HeaderChar"/>
    <w:link w:val="FluxHalaman"/>
    <w:rsid w:val="009228D5"/>
    <w:rPr>
      <w:rFonts w:ascii="Helvetica" w:hAnsi="Helvetica"/>
      <w:lang w:val="id-ID"/>
    </w:rPr>
  </w:style>
  <w:style w:type="character" w:customStyle="1" w:styleId="TextChar">
    <w:name w:val="Text Char"/>
    <w:basedOn w:val="DefaultParagraphFont"/>
    <w:link w:val="Text"/>
    <w:rsid w:val="009228D5"/>
  </w:style>
  <w:style w:type="character" w:customStyle="1" w:styleId="FluxNPersamaanChar">
    <w:name w:val="Flux NPersamaan Char"/>
    <w:basedOn w:val="FluxNoPersamaanChar"/>
    <w:link w:val="FluxNPersamaan"/>
    <w:rsid w:val="009228D5"/>
    <w:rPr>
      <w:rFonts w:ascii="Palatino Linotype" w:hAnsi="Palatino Linotype"/>
      <w:b/>
      <w:bCs/>
      <w:sz w:val="22"/>
      <w:lang w:val="id-ID"/>
    </w:rPr>
  </w:style>
  <w:style w:type="character" w:customStyle="1" w:styleId="FluxHeaderChar">
    <w:name w:val="Flux Header Char"/>
    <w:basedOn w:val="DefaultParagraphFont"/>
    <w:link w:val="FluxHeader"/>
    <w:rsid w:val="009228D5"/>
    <w:rPr>
      <w:rFonts w:ascii="Helvetica" w:hAnsi="Helvetica"/>
      <w:lang w:val="sv-SE"/>
    </w:rPr>
  </w:style>
  <w:style w:type="character" w:customStyle="1" w:styleId="FluxNoPersamaanChar">
    <w:name w:val="Flux NoPersamaan Char"/>
    <w:basedOn w:val="CaptionChar"/>
    <w:link w:val="FluxNoPersamaan"/>
    <w:rsid w:val="009228D5"/>
    <w:rPr>
      <w:rFonts w:ascii="Palatino Linotype" w:hAnsi="Palatino Linotype"/>
      <w:b/>
      <w:bCs/>
      <w:sz w:val="22"/>
      <w:lang w:val="id-ID"/>
    </w:rPr>
  </w:style>
  <w:style w:type="character" w:customStyle="1" w:styleId="FluxTabelNamaChar">
    <w:name w:val="Flux Tabel Nama Char"/>
    <w:basedOn w:val="CaptionChar"/>
    <w:link w:val="FluxTabelNama"/>
    <w:rsid w:val="00443ACF"/>
    <w:rPr>
      <w:rFonts w:ascii="Palatino Linotype" w:hAnsi="Palatino Linotype"/>
      <w:b/>
      <w:bCs/>
      <w:sz w:val="18"/>
      <w:lang w:val="id-ID"/>
    </w:rPr>
  </w:style>
  <w:style w:type="character" w:customStyle="1" w:styleId="MemberType">
    <w:name w:val="MemberType"/>
    <w:rsid w:val="009228D5"/>
    <w:rPr>
      <w:rFonts w:ascii="Times New Roman" w:hAnsi="Times New Roman" w:cs="Times New Roman"/>
      <w:i/>
      <w:iCs/>
      <w:sz w:val="22"/>
      <w:szCs w:val="22"/>
    </w:rPr>
  </w:style>
  <w:style w:type="character" w:customStyle="1" w:styleId="FluxTPersamaanChar">
    <w:name w:val="Flux TPersamaan Char"/>
    <w:basedOn w:val="FluxisiChar1"/>
    <w:link w:val="FluxTPersamaan"/>
    <w:rsid w:val="009228D5"/>
    <w:rPr>
      <w:rFonts w:ascii="Palatino Linotype" w:hAnsi="Palatino Linotype"/>
      <w:sz w:val="22"/>
      <w:lang w:val="id-ID"/>
    </w:rPr>
  </w:style>
  <w:style w:type="character" w:customStyle="1" w:styleId="FluxKeternganPenulisChar">
    <w:name w:val="Flux Keterngan Penulis Char"/>
    <w:basedOn w:val="FluxHalamanChar"/>
    <w:link w:val="FluxKeternganPenulis"/>
    <w:rsid w:val="009228D5"/>
    <w:rPr>
      <w:rFonts w:ascii="Palatino Linotype" w:hAnsi="Palatino Linotype"/>
      <w:lang w:val="id-ID"/>
    </w:rPr>
  </w:style>
  <w:style w:type="character" w:customStyle="1" w:styleId="FluxafiliasiChar">
    <w:name w:val="Flux afiliasi Char"/>
    <w:basedOn w:val="FluxAbstrakChar1"/>
    <w:link w:val="Fluxafiliasi"/>
    <w:rsid w:val="00961205"/>
    <w:rPr>
      <w:rFonts w:ascii="Palatino Linotype" w:hAnsi="Palatino Linotype"/>
      <w:b/>
      <w:bCs/>
      <w:sz w:val="22"/>
      <w:szCs w:val="19"/>
      <w:lang w:val="id-ID"/>
    </w:rPr>
  </w:style>
  <w:style w:type="character" w:customStyle="1" w:styleId="FluxDaftarPustakaChar">
    <w:name w:val="Flux Daftar Pustaka Char"/>
    <w:basedOn w:val="FluxisiChar1"/>
    <w:link w:val="FluxDaftarPustaka"/>
    <w:rsid w:val="00E04EC1"/>
    <w:rPr>
      <w:rFonts w:ascii="Palatino Linotype" w:hAnsi="Palatino Linotype"/>
      <w:sz w:val="22"/>
      <w:lang w:val="id-ID"/>
    </w:rPr>
  </w:style>
  <w:style w:type="character" w:customStyle="1" w:styleId="HeaderChar">
    <w:name w:val="Header Char"/>
    <w:basedOn w:val="DefaultParagraphFont"/>
    <w:link w:val="Header"/>
    <w:uiPriority w:val="99"/>
    <w:rsid w:val="009228D5"/>
    <w:rPr>
      <w:lang w:val="id-ID"/>
    </w:rPr>
  </w:style>
  <w:style w:type="character" w:customStyle="1" w:styleId="GambarChar">
    <w:name w:val="Gambar Char"/>
    <w:basedOn w:val="FootnoteTextChar"/>
    <w:link w:val="Gambar"/>
    <w:rsid w:val="009228D5"/>
    <w:rPr>
      <w:sz w:val="16"/>
      <w:szCs w:val="16"/>
    </w:rPr>
  </w:style>
  <w:style w:type="character" w:customStyle="1" w:styleId="FluxNoGambarChar">
    <w:name w:val="Flux No Gambar Char"/>
    <w:basedOn w:val="GambarChar"/>
    <w:link w:val="FluxNoGambar"/>
    <w:rsid w:val="00A71BF4"/>
    <w:rPr>
      <w:rFonts w:ascii="Palatino Linotype" w:hAnsi="Palatino Linotype"/>
      <w:b/>
      <w:sz w:val="18"/>
      <w:szCs w:val="16"/>
    </w:rPr>
  </w:style>
  <w:style w:type="character" w:customStyle="1" w:styleId="FluxFrameChar">
    <w:name w:val="Flux Frame Char"/>
    <w:basedOn w:val="TextChar"/>
    <w:link w:val="FluxFrame"/>
    <w:rsid w:val="009228D5"/>
  </w:style>
  <w:style w:type="character" w:customStyle="1" w:styleId="FluxPersamaanChar">
    <w:name w:val="Flux Persamaan Char"/>
    <w:basedOn w:val="FluxisiChar1"/>
    <w:link w:val="FluxPersamaan"/>
    <w:rsid w:val="009228D5"/>
    <w:rPr>
      <w:rFonts w:ascii="Palatino Linotype" w:hAnsi="Palatino Linotype"/>
      <w:sz w:val="22"/>
      <w:lang w:val="id-ID"/>
    </w:rPr>
  </w:style>
  <w:style w:type="paragraph" w:styleId="Title">
    <w:name w:val="Title"/>
    <w:basedOn w:val="Normal"/>
    <w:next w:val="Normal"/>
    <w:qFormat/>
    <w:rsid w:val="009228D5"/>
    <w:pPr>
      <w:framePr w:w="9360" w:hSpace="187" w:vSpace="187" w:wrap="notBeside" w:vAnchor="text" w:hAnchor="page" w:xAlign="center" w:y="1"/>
      <w:jc w:val="center"/>
    </w:pPr>
    <w:rPr>
      <w:kern w:val="28"/>
      <w:sz w:val="48"/>
      <w:szCs w:val="48"/>
    </w:rPr>
  </w:style>
  <w:style w:type="paragraph" w:styleId="DocumentMap">
    <w:name w:val="Document Map"/>
    <w:basedOn w:val="Normal"/>
    <w:semiHidden/>
    <w:rsid w:val="009228D5"/>
    <w:pPr>
      <w:shd w:val="clear" w:color="auto" w:fill="000080"/>
    </w:pPr>
    <w:rPr>
      <w:rFonts w:ascii="Tahoma" w:hAnsi="Tahoma" w:cs="Tahoma"/>
    </w:rPr>
  </w:style>
  <w:style w:type="paragraph" w:styleId="FootnoteText">
    <w:name w:val="footnote text"/>
    <w:basedOn w:val="Normal"/>
    <w:link w:val="FootnoteTextChar"/>
    <w:semiHidden/>
    <w:rsid w:val="009228D5"/>
    <w:pPr>
      <w:ind w:firstLine="202"/>
      <w:jc w:val="both"/>
    </w:pPr>
    <w:rPr>
      <w:sz w:val="16"/>
      <w:szCs w:val="16"/>
    </w:rPr>
  </w:style>
  <w:style w:type="paragraph" w:styleId="Header">
    <w:name w:val="header"/>
    <w:basedOn w:val="Normal"/>
    <w:link w:val="HeaderChar"/>
    <w:uiPriority w:val="99"/>
    <w:rsid w:val="009228D5"/>
    <w:pPr>
      <w:tabs>
        <w:tab w:val="center" w:pos="4320"/>
        <w:tab w:val="right" w:pos="8640"/>
      </w:tabs>
    </w:pPr>
  </w:style>
  <w:style w:type="paragraph" w:styleId="Caption">
    <w:name w:val="caption"/>
    <w:basedOn w:val="Normal"/>
    <w:next w:val="Normal"/>
    <w:link w:val="CaptionChar"/>
    <w:qFormat/>
    <w:rsid w:val="009228D5"/>
    <w:pPr>
      <w:spacing w:before="60" w:after="120"/>
      <w:jc w:val="center"/>
    </w:pPr>
    <w:rPr>
      <w:rFonts w:ascii="Palatino Linotype" w:hAnsi="Palatino Linotype"/>
      <w:b/>
      <w:bCs/>
      <w:sz w:val="18"/>
    </w:rPr>
  </w:style>
  <w:style w:type="paragraph" w:styleId="BodyTextIndent">
    <w:name w:val="Body Text Indent"/>
    <w:basedOn w:val="Normal"/>
    <w:rsid w:val="009228D5"/>
    <w:pPr>
      <w:ind w:left="630" w:hanging="630"/>
    </w:pPr>
    <w:rPr>
      <w:szCs w:val="24"/>
    </w:rPr>
  </w:style>
  <w:style w:type="paragraph" w:styleId="Footer">
    <w:name w:val="footer"/>
    <w:basedOn w:val="Normal"/>
    <w:link w:val="FooterChar"/>
    <w:uiPriority w:val="99"/>
    <w:rsid w:val="009228D5"/>
    <w:pPr>
      <w:tabs>
        <w:tab w:val="center" w:pos="4320"/>
        <w:tab w:val="right" w:pos="8640"/>
      </w:tabs>
    </w:pPr>
  </w:style>
  <w:style w:type="paragraph" w:customStyle="1" w:styleId="Text">
    <w:name w:val="Text"/>
    <w:basedOn w:val="Normal"/>
    <w:link w:val="TextChar"/>
    <w:rsid w:val="009228D5"/>
    <w:pPr>
      <w:widowControl w:val="0"/>
      <w:spacing w:line="252" w:lineRule="auto"/>
      <w:ind w:firstLine="202"/>
      <w:jc w:val="both"/>
    </w:pPr>
  </w:style>
  <w:style w:type="paragraph" w:customStyle="1" w:styleId="Fluxpenulis">
    <w:name w:val="Flux penulis"/>
    <w:basedOn w:val="FluxAbstrak"/>
    <w:link w:val="FluxpenulisChar"/>
    <w:qFormat/>
    <w:rsid w:val="00961205"/>
    <w:pPr>
      <w:ind w:right="0"/>
      <w:jc w:val="center"/>
    </w:pPr>
    <w:rPr>
      <w:sz w:val="22"/>
    </w:rPr>
  </w:style>
  <w:style w:type="paragraph" w:customStyle="1" w:styleId="FluxDaftarPustaka">
    <w:name w:val="Flux Daftar Pustaka"/>
    <w:basedOn w:val="Fluxisi"/>
    <w:link w:val="FluxDaftarPustakaChar"/>
    <w:qFormat/>
    <w:rsid w:val="00E04EC1"/>
    <w:pPr>
      <w:spacing w:before="40" w:after="40"/>
      <w:ind w:left="432" w:hanging="432"/>
    </w:pPr>
    <w:rPr>
      <w:lang w:val="en-US"/>
    </w:rPr>
  </w:style>
  <w:style w:type="paragraph" w:customStyle="1" w:styleId="FluxHeader">
    <w:name w:val="Flux Header"/>
    <w:basedOn w:val="Normal"/>
    <w:next w:val="Header"/>
    <w:link w:val="FluxHeaderChar"/>
    <w:qFormat/>
    <w:rsid w:val="009228D5"/>
    <w:pPr>
      <w:ind w:right="360"/>
    </w:pPr>
    <w:rPr>
      <w:rFonts w:ascii="Helvetica" w:hAnsi="Helvetica"/>
      <w:lang w:val="sv-SE"/>
    </w:rPr>
  </w:style>
  <w:style w:type="paragraph" w:customStyle="1" w:styleId="Persamaan">
    <w:name w:val="Persamaan"/>
    <w:basedOn w:val="Normal"/>
    <w:link w:val="PersamaanChar"/>
    <w:qFormat/>
    <w:rsid w:val="009228D5"/>
    <w:pPr>
      <w:spacing w:before="60" w:after="60"/>
    </w:pPr>
  </w:style>
  <w:style w:type="paragraph" w:customStyle="1" w:styleId="FluxFrameG">
    <w:name w:val="Flux FrameG"/>
    <w:basedOn w:val="Fluxisi"/>
    <w:next w:val="Fluxisi"/>
    <w:link w:val="FluxFrameGChar"/>
    <w:qFormat/>
    <w:rsid w:val="009228D5"/>
    <w:pPr>
      <w:ind w:firstLine="0"/>
    </w:pPr>
  </w:style>
  <w:style w:type="paragraph" w:customStyle="1" w:styleId="FluxPersamaan">
    <w:name w:val="Flux Persamaan"/>
    <w:basedOn w:val="Fluxisi"/>
    <w:next w:val="Fluxisi"/>
    <w:link w:val="FluxPersamaanChar"/>
    <w:qFormat/>
    <w:rsid w:val="009228D5"/>
    <w:pPr>
      <w:ind w:firstLine="0"/>
      <w:jc w:val="left"/>
    </w:pPr>
  </w:style>
  <w:style w:type="paragraph" w:customStyle="1" w:styleId="Equation">
    <w:name w:val="Equation"/>
    <w:basedOn w:val="Normal"/>
    <w:next w:val="Normal"/>
    <w:rsid w:val="009228D5"/>
    <w:pPr>
      <w:widowControl w:val="0"/>
      <w:tabs>
        <w:tab w:val="right" w:pos="5040"/>
      </w:tabs>
      <w:spacing w:line="252" w:lineRule="auto"/>
      <w:jc w:val="both"/>
    </w:pPr>
  </w:style>
  <w:style w:type="paragraph" w:customStyle="1" w:styleId="Fluxisi">
    <w:name w:val="Flux isi"/>
    <w:basedOn w:val="Text"/>
    <w:link w:val="FluxisiChar"/>
    <w:qFormat/>
    <w:rsid w:val="00443ACF"/>
    <w:pPr>
      <w:spacing w:line="240" w:lineRule="auto"/>
      <w:ind w:firstLine="450"/>
    </w:pPr>
    <w:rPr>
      <w:rFonts w:ascii="Palatino Linotype" w:hAnsi="Palatino Linotype"/>
      <w:sz w:val="22"/>
    </w:rPr>
  </w:style>
  <w:style w:type="paragraph" w:customStyle="1" w:styleId="FluxFrameT">
    <w:name w:val="Flux FrameT"/>
    <w:basedOn w:val="Fluxisi"/>
    <w:next w:val="Fluxisi"/>
    <w:link w:val="FluxFrameTChar"/>
    <w:qFormat/>
    <w:rsid w:val="009228D5"/>
    <w:pPr>
      <w:ind w:firstLine="0"/>
      <w:jc w:val="left"/>
    </w:pPr>
    <w:rPr>
      <w:sz w:val="16"/>
      <w:szCs w:val="16"/>
    </w:rPr>
  </w:style>
  <w:style w:type="paragraph" w:customStyle="1" w:styleId="TableTitle">
    <w:name w:val="Table Title"/>
    <w:basedOn w:val="Normal"/>
    <w:rsid w:val="009228D5"/>
    <w:pPr>
      <w:jc w:val="center"/>
    </w:pPr>
    <w:rPr>
      <w:smallCaps/>
      <w:sz w:val="16"/>
      <w:szCs w:val="16"/>
    </w:rPr>
  </w:style>
  <w:style w:type="paragraph" w:customStyle="1" w:styleId="FluxHalaman">
    <w:name w:val="Flux Halaman"/>
    <w:basedOn w:val="Header"/>
    <w:link w:val="FluxHalamanChar"/>
    <w:qFormat/>
    <w:rsid w:val="009228D5"/>
    <w:pPr>
      <w:jc w:val="right"/>
    </w:pPr>
    <w:rPr>
      <w:rFonts w:ascii="Helvetica" w:hAnsi="Helvetica"/>
    </w:rPr>
  </w:style>
  <w:style w:type="paragraph" w:customStyle="1" w:styleId="FluxFrame">
    <w:name w:val="Flux Frame"/>
    <w:basedOn w:val="Text"/>
    <w:link w:val="FluxFrameChar"/>
    <w:rsid w:val="009228D5"/>
    <w:pPr>
      <w:spacing w:before="120" w:after="120" w:line="240" w:lineRule="auto"/>
      <w:ind w:firstLine="0"/>
      <w:jc w:val="center"/>
    </w:pPr>
  </w:style>
  <w:style w:type="paragraph" w:customStyle="1" w:styleId="FluxTPersamaan">
    <w:name w:val="Flux TPersamaan"/>
    <w:basedOn w:val="Fluxisi"/>
    <w:next w:val="Fluxisi"/>
    <w:link w:val="FluxTPersamaanChar"/>
    <w:qFormat/>
    <w:rsid w:val="009228D5"/>
    <w:pPr>
      <w:spacing w:before="40" w:after="40"/>
      <w:ind w:firstLine="0"/>
    </w:pPr>
  </w:style>
  <w:style w:type="paragraph" w:customStyle="1" w:styleId="FluxAbstrak">
    <w:name w:val="Flux Abstrak"/>
    <w:basedOn w:val="Abstract"/>
    <w:link w:val="FluxAbstrakChar1"/>
    <w:qFormat/>
    <w:rsid w:val="00961205"/>
    <w:pPr>
      <w:spacing w:before="80" w:after="60"/>
      <w:ind w:right="2" w:firstLine="0"/>
    </w:pPr>
    <w:rPr>
      <w:rFonts w:ascii="Palatino Linotype" w:hAnsi="Palatino Linotype"/>
      <w:b w:val="0"/>
      <w:sz w:val="20"/>
      <w:szCs w:val="19"/>
    </w:rPr>
  </w:style>
  <w:style w:type="paragraph" w:customStyle="1" w:styleId="FigureCaption">
    <w:name w:val="Figure Caption"/>
    <w:basedOn w:val="Normal"/>
    <w:rsid w:val="009228D5"/>
    <w:pPr>
      <w:jc w:val="both"/>
    </w:pPr>
    <w:rPr>
      <w:sz w:val="16"/>
      <w:szCs w:val="16"/>
    </w:rPr>
  </w:style>
  <w:style w:type="paragraph" w:customStyle="1" w:styleId="Authors">
    <w:name w:val="Authors"/>
    <w:basedOn w:val="Normal"/>
    <w:next w:val="Normal"/>
    <w:rsid w:val="009228D5"/>
    <w:pPr>
      <w:framePr w:w="9072" w:hSpace="187" w:vSpace="187" w:wrap="notBeside" w:vAnchor="text" w:hAnchor="page" w:xAlign="center" w:y="1"/>
      <w:spacing w:after="320"/>
      <w:jc w:val="center"/>
    </w:pPr>
    <w:rPr>
      <w:sz w:val="22"/>
      <w:szCs w:val="22"/>
    </w:rPr>
  </w:style>
  <w:style w:type="paragraph" w:customStyle="1" w:styleId="FluxIsiNomor">
    <w:name w:val="Flux Isi Nomor"/>
    <w:basedOn w:val="Fluxisi"/>
    <w:next w:val="Fluxisi"/>
    <w:link w:val="FluxIsiNomorChar"/>
    <w:qFormat/>
    <w:rsid w:val="009228D5"/>
    <w:pPr>
      <w:tabs>
        <w:tab w:val="left" w:pos="360"/>
      </w:tabs>
      <w:ind w:left="360" w:hanging="360"/>
    </w:pPr>
    <w:rPr>
      <w:szCs w:val="22"/>
    </w:rPr>
  </w:style>
  <w:style w:type="paragraph" w:customStyle="1" w:styleId="Fluxemailkoresponden">
    <w:name w:val="Flux email koresponden"/>
    <w:basedOn w:val="Fluxafiliasi"/>
    <w:link w:val="FluxemailkorespondenChar"/>
    <w:qFormat/>
    <w:rsid w:val="00961205"/>
  </w:style>
  <w:style w:type="paragraph" w:customStyle="1" w:styleId="FluxJudul">
    <w:name w:val="Flux Judul"/>
    <w:basedOn w:val="Abstract"/>
    <w:next w:val="Authors"/>
    <w:link w:val="FluxJudulChar"/>
    <w:qFormat/>
    <w:rsid w:val="00263477"/>
    <w:pPr>
      <w:spacing w:before="0" w:after="240" w:line="400" w:lineRule="exact"/>
      <w:ind w:firstLine="0"/>
      <w:jc w:val="center"/>
    </w:pPr>
    <w:rPr>
      <w:rFonts w:ascii="Palatino Linotype" w:hAnsi="Palatino Linotype"/>
      <w:sz w:val="32"/>
    </w:rPr>
  </w:style>
  <w:style w:type="paragraph" w:customStyle="1" w:styleId="References">
    <w:name w:val="References"/>
    <w:basedOn w:val="Normal"/>
    <w:rsid w:val="009228D5"/>
    <w:pPr>
      <w:tabs>
        <w:tab w:val="left" w:pos="360"/>
      </w:tabs>
      <w:ind w:left="360" w:hanging="360"/>
      <w:jc w:val="both"/>
    </w:pPr>
    <w:rPr>
      <w:sz w:val="16"/>
      <w:szCs w:val="16"/>
    </w:rPr>
  </w:style>
  <w:style w:type="paragraph" w:customStyle="1" w:styleId="FluxTCaption">
    <w:name w:val="Flux TCaption"/>
    <w:basedOn w:val="Caption"/>
    <w:link w:val="FluxTCaptionChar"/>
    <w:qFormat/>
    <w:rsid w:val="009228D5"/>
    <w:pPr>
      <w:jc w:val="left"/>
    </w:pPr>
  </w:style>
  <w:style w:type="paragraph" w:customStyle="1" w:styleId="Fluxkatakunci">
    <w:name w:val="Flux kata kunci"/>
    <w:basedOn w:val="FluxAbstrak"/>
    <w:next w:val="Fluxisi"/>
    <w:link w:val="FluxkatakunciChar"/>
    <w:qFormat/>
    <w:rsid w:val="00961205"/>
    <w:pPr>
      <w:spacing w:before="120" w:after="120"/>
    </w:pPr>
    <w:rPr>
      <w:i/>
    </w:rPr>
  </w:style>
  <w:style w:type="paragraph" w:customStyle="1" w:styleId="FluxKetTabel">
    <w:name w:val="Flux KetTabel"/>
    <w:basedOn w:val="FootnoteText"/>
    <w:link w:val="FluxKetTabelChar"/>
    <w:qFormat/>
    <w:rsid w:val="009228D5"/>
    <w:pPr>
      <w:ind w:left="196" w:firstLine="0"/>
    </w:pPr>
    <w:rPr>
      <w:rFonts w:ascii="Palatino Linotype" w:hAnsi="Palatino Linotype"/>
      <w:sz w:val="18"/>
      <w:szCs w:val="18"/>
    </w:rPr>
  </w:style>
  <w:style w:type="paragraph" w:customStyle="1" w:styleId="Abstract">
    <w:name w:val="Abstract"/>
    <w:basedOn w:val="Normal"/>
    <w:next w:val="Normal"/>
    <w:link w:val="AbstractChar"/>
    <w:rsid w:val="009228D5"/>
    <w:pPr>
      <w:spacing w:before="20"/>
      <w:ind w:firstLine="202"/>
      <w:jc w:val="both"/>
    </w:pPr>
    <w:rPr>
      <w:b/>
      <w:bCs/>
      <w:sz w:val="18"/>
      <w:szCs w:val="18"/>
    </w:rPr>
  </w:style>
  <w:style w:type="paragraph" w:customStyle="1" w:styleId="IndexTerms">
    <w:name w:val="IndexTerms"/>
    <w:basedOn w:val="Normal"/>
    <w:next w:val="Normal"/>
    <w:rsid w:val="009228D5"/>
    <w:pPr>
      <w:ind w:firstLine="202"/>
      <w:jc w:val="both"/>
    </w:pPr>
    <w:rPr>
      <w:b/>
      <w:bCs/>
      <w:sz w:val="18"/>
      <w:szCs w:val="18"/>
    </w:rPr>
  </w:style>
  <w:style w:type="paragraph" w:customStyle="1" w:styleId="FluxDPustaka">
    <w:name w:val="Flux DPustaka"/>
    <w:basedOn w:val="Normal"/>
    <w:link w:val="FluxDPustakaChar"/>
    <w:qFormat/>
    <w:rsid w:val="009228D5"/>
    <w:pPr>
      <w:ind w:left="360" w:hanging="360"/>
      <w:jc w:val="both"/>
    </w:pPr>
    <w:rPr>
      <w:sz w:val="21"/>
      <w:szCs w:val="16"/>
    </w:rPr>
  </w:style>
  <w:style w:type="paragraph" w:customStyle="1" w:styleId="Fluxafiliasi">
    <w:name w:val="Flux afiliasi"/>
    <w:basedOn w:val="FluxAbstrak"/>
    <w:link w:val="FluxafiliasiChar"/>
    <w:qFormat/>
    <w:rsid w:val="00961205"/>
    <w:pPr>
      <w:spacing w:before="0" w:after="0"/>
      <w:ind w:right="0"/>
      <w:jc w:val="center"/>
    </w:pPr>
    <w:rPr>
      <w:sz w:val="22"/>
    </w:rPr>
  </w:style>
  <w:style w:type="paragraph" w:customStyle="1" w:styleId="FluxNoPersamaan">
    <w:name w:val="Flux NoPersamaan"/>
    <w:basedOn w:val="Caption"/>
    <w:next w:val="Fluxisi"/>
    <w:link w:val="FluxNoPersamaanChar"/>
    <w:qFormat/>
    <w:rsid w:val="009228D5"/>
    <w:pPr>
      <w:jc w:val="right"/>
    </w:pPr>
    <w:rPr>
      <w:b w:val="0"/>
      <w:sz w:val="22"/>
    </w:rPr>
  </w:style>
  <w:style w:type="paragraph" w:customStyle="1" w:styleId="FluxGambar">
    <w:name w:val="Flux Gambar"/>
    <w:basedOn w:val="FootnoteText"/>
    <w:next w:val="FootnoteText"/>
    <w:link w:val="FluxGambarChar"/>
    <w:qFormat/>
    <w:rsid w:val="00443ACF"/>
    <w:pPr>
      <w:ind w:firstLine="0"/>
    </w:pPr>
    <w:rPr>
      <w:rFonts w:ascii="Palatino Linotype" w:hAnsi="Palatino Linotype"/>
      <w:b/>
      <w:sz w:val="20"/>
    </w:rPr>
  </w:style>
  <w:style w:type="paragraph" w:customStyle="1" w:styleId="FluxTabelNama">
    <w:name w:val="Flux Tabel Nama"/>
    <w:basedOn w:val="Caption"/>
    <w:link w:val="FluxTabelNamaChar"/>
    <w:qFormat/>
    <w:rsid w:val="00443ACF"/>
    <w:pPr>
      <w:jc w:val="left"/>
    </w:pPr>
    <w:rPr>
      <w:sz w:val="20"/>
      <w:lang w:val="en-US"/>
    </w:rPr>
  </w:style>
  <w:style w:type="paragraph" w:customStyle="1" w:styleId="ReferenceHead">
    <w:name w:val="Reference Head"/>
    <w:basedOn w:val="Heading1"/>
    <w:rsid w:val="009228D5"/>
  </w:style>
  <w:style w:type="paragraph" w:customStyle="1" w:styleId="FluxFrameBesar">
    <w:name w:val="Flux Frame Besar"/>
    <w:basedOn w:val="Fluxisi"/>
    <w:next w:val="Fluxisi"/>
    <w:link w:val="FluxFrameBesarChar"/>
    <w:qFormat/>
    <w:rsid w:val="009228D5"/>
    <w:pPr>
      <w:keepNext/>
      <w:framePr w:wrap="around" w:hAnchor="text" w:x="1326" w:y="2535"/>
      <w:ind w:firstLine="0"/>
    </w:pPr>
    <w:rPr>
      <w:sz w:val="18"/>
      <w:szCs w:val="18"/>
    </w:rPr>
  </w:style>
  <w:style w:type="paragraph" w:customStyle="1" w:styleId="FluxNPersamaan">
    <w:name w:val="Flux NPersamaan"/>
    <w:basedOn w:val="FluxNoPersamaan"/>
    <w:link w:val="FluxNPersamaanChar"/>
    <w:rsid w:val="009228D5"/>
  </w:style>
  <w:style w:type="paragraph" w:customStyle="1" w:styleId="Pa0">
    <w:name w:val="Pa0"/>
    <w:basedOn w:val="Normal"/>
    <w:next w:val="Normal"/>
    <w:rsid w:val="009228D5"/>
    <w:pPr>
      <w:widowControl w:val="0"/>
      <w:adjustRightInd w:val="0"/>
      <w:spacing w:line="241" w:lineRule="atLeast"/>
    </w:pPr>
    <w:rPr>
      <w:rFonts w:ascii="Baskerville" w:hAnsi="Baskerville"/>
      <w:sz w:val="24"/>
      <w:szCs w:val="24"/>
    </w:rPr>
  </w:style>
  <w:style w:type="paragraph" w:customStyle="1" w:styleId="FluxHeading3">
    <w:name w:val="Flux Heading3"/>
    <w:basedOn w:val="Normal"/>
    <w:link w:val="FluxHeading3Char"/>
    <w:qFormat/>
    <w:rsid w:val="00B125BA"/>
    <w:pPr>
      <w:spacing w:before="60" w:after="60"/>
    </w:pPr>
    <w:rPr>
      <w:rFonts w:ascii="Palatino Linotype" w:hAnsi="Palatino Linotype"/>
      <w:i/>
      <w:sz w:val="22"/>
    </w:rPr>
  </w:style>
  <w:style w:type="paragraph" w:customStyle="1" w:styleId="FluxNoGambar">
    <w:name w:val="Flux No Gambar"/>
    <w:basedOn w:val="Gambar"/>
    <w:next w:val="Gambar"/>
    <w:link w:val="FluxNoGambarChar"/>
    <w:qFormat/>
    <w:rsid w:val="00A71BF4"/>
    <w:rPr>
      <w:rFonts w:ascii="Palatino Linotype" w:hAnsi="Palatino Linotype"/>
      <w:b/>
      <w:sz w:val="18"/>
      <w:lang w:val="en-US"/>
    </w:rPr>
  </w:style>
  <w:style w:type="paragraph" w:customStyle="1" w:styleId="Gambar">
    <w:name w:val="Gambar"/>
    <w:basedOn w:val="FootnoteText"/>
    <w:link w:val="GambarChar"/>
    <w:qFormat/>
    <w:rsid w:val="009228D5"/>
    <w:pPr>
      <w:keepNext/>
      <w:ind w:firstLine="0"/>
      <w:jc w:val="center"/>
    </w:pPr>
  </w:style>
  <w:style w:type="paragraph" w:customStyle="1" w:styleId="FluxKeternganPenulis">
    <w:name w:val="Flux Keterngan Penulis"/>
    <w:basedOn w:val="FluxHalaman"/>
    <w:link w:val="FluxKeternganPenulisChar"/>
    <w:qFormat/>
    <w:rsid w:val="009228D5"/>
    <w:rPr>
      <w:rFonts w:ascii="Palatino Linotype" w:hAnsi="Palatino Linotype"/>
    </w:rPr>
  </w:style>
  <w:style w:type="table" w:styleId="TableGrid">
    <w:name w:val="Table Grid"/>
    <w:basedOn w:val="TableNormal"/>
    <w:rsid w:val="009228D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99"/>
    <w:qFormat/>
    <w:rsid w:val="00B00F9A"/>
    <w:pPr>
      <w:autoSpaceDE w:val="0"/>
      <w:autoSpaceDN w:val="0"/>
    </w:pPr>
    <w:rPr>
      <w:lang w:val="id-ID"/>
    </w:rPr>
  </w:style>
  <w:style w:type="paragraph" w:styleId="Revision">
    <w:name w:val="Revision"/>
    <w:hidden/>
    <w:uiPriority w:val="99"/>
    <w:unhideWhenUsed/>
    <w:rsid w:val="00B80A9F"/>
    <w:rPr>
      <w:lang w:val="id-ID"/>
    </w:rPr>
  </w:style>
  <w:style w:type="paragraph" w:styleId="BalloonText">
    <w:name w:val="Balloon Text"/>
    <w:basedOn w:val="Normal"/>
    <w:link w:val="BalloonTextChar"/>
    <w:rsid w:val="00B80A9F"/>
    <w:rPr>
      <w:rFonts w:ascii="Tahoma" w:hAnsi="Tahoma" w:cs="Tahoma"/>
      <w:sz w:val="16"/>
      <w:szCs w:val="16"/>
    </w:rPr>
  </w:style>
  <w:style w:type="character" w:customStyle="1" w:styleId="BalloonTextChar">
    <w:name w:val="Balloon Text Char"/>
    <w:basedOn w:val="DefaultParagraphFont"/>
    <w:link w:val="BalloonText"/>
    <w:rsid w:val="00B80A9F"/>
    <w:rPr>
      <w:rFonts w:ascii="Tahoma" w:hAnsi="Tahoma" w:cs="Tahoma"/>
      <w:sz w:val="16"/>
      <w:szCs w:val="16"/>
      <w:lang w:val="id-ID"/>
    </w:rPr>
  </w:style>
  <w:style w:type="paragraph" w:customStyle="1" w:styleId="StyleHeading1FluxHeading1PalatinoLinotype2ptFirstline">
    <w:name w:val="Style Heading 1Flux Heading1 + Palatino Linotype 2 pt First line..."/>
    <w:basedOn w:val="Heading1"/>
    <w:rsid w:val="00692142"/>
    <w:pPr>
      <w:spacing w:line="20" w:lineRule="exact"/>
    </w:pPr>
    <w:rPr>
      <w:rFonts w:ascii="Calibri" w:hAnsi="Calibri"/>
      <w:bCs/>
      <w:sz w:val="4"/>
    </w:rPr>
  </w:style>
  <w:style w:type="paragraph" w:customStyle="1" w:styleId="PaperTitle">
    <w:name w:val="Paper Title"/>
    <w:basedOn w:val="Normal"/>
    <w:rsid w:val="00F06A69"/>
    <w:pPr>
      <w:spacing w:before="960"/>
      <w:jc w:val="center"/>
    </w:pPr>
    <w:rPr>
      <w:rFonts w:eastAsia="MS Mincho"/>
      <w:b/>
      <w:sz w:val="36"/>
      <w:lang w:val="en-US"/>
    </w:rPr>
  </w:style>
  <w:style w:type="character" w:customStyle="1" w:styleId="FooterChar">
    <w:name w:val="Footer Char"/>
    <w:basedOn w:val="DefaultParagraphFont"/>
    <w:link w:val="Footer"/>
    <w:uiPriority w:val="99"/>
    <w:rsid w:val="0016208B"/>
    <w:rPr>
      <w:lang w:val="id-ID"/>
    </w:rPr>
  </w:style>
  <w:style w:type="character" w:customStyle="1" w:styleId="UnresolvedMention">
    <w:name w:val="Unresolved Mention"/>
    <w:basedOn w:val="DefaultParagraphFont"/>
    <w:uiPriority w:val="99"/>
    <w:semiHidden/>
    <w:unhideWhenUsed/>
    <w:rsid w:val="005B5472"/>
    <w:rPr>
      <w:color w:val="605E5C"/>
      <w:shd w:val="clear" w:color="auto" w:fill="E1DFDD"/>
    </w:rPr>
  </w:style>
  <w:style w:type="paragraph" w:styleId="ListParagraph">
    <w:name w:val="List Paragraph"/>
    <w:aliases w:val="kepala,Light Grid - Accent 31,Body of text,Tabel,judul,Lampiran"/>
    <w:basedOn w:val="Normal"/>
    <w:link w:val="ListParagraphChar"/>
    <w:uiPriority w:val="34"/>
    <w:qFormat/>
    <w:rsid w:val="00A63E57"/>
    <w:pPr>
      <w:ind w:left="720"/>
      <w:contextualSpacing/>
    </w:pPr>
  </w:style>
  <w:style w:type="paragraph" w:customStyle="1" w:styleId="TeksArtikel">
    <w:name w:val="Teks Artikel"/>
    <w:basedOn w:val="Normal"/>
    <w:link w:val="TeksArtikelChar"/>
    <w:qFormat/>
    <w:rsid w:val="00E36948"/>
    <w:pPr>
      <w:spacing w:line="276" w:lineRule="auto"/>
      <w:ind w:firstLine="360"/>
      <w:jc w:val="both"/>
    </w:pPr>
    <w:rPr>
      <w:rFonts w:asciiTheme="majorHAnsi" w:eastAsiaTheme="minorEastAsia" w:hAnsiTheme="majorHAnsi"/>
      <w:lang w:eastAsia="id-ID"/>
    </w:rPr>
  </w:style>
  <w:style w:type="character" w:customStyle="1" w:styleId="TeksArtikelChar">
    <w:name w:val="Teks Artikel Char"/>
    <w:basedOn w:val="DefaultParagraphFont"/>
    <w:link w:val="TeksArtikel"/>
    <w:rsid w:val="00E36948"/>
    <w:rPr>
      <w:rFonts w:asciiTheme="majorHAnsi" w:eastAsiaTheme="minorEastAsia" w:hAnsiTheme="majorHAnsi"/>
      <w:lang w:val="id-ID" w:eastAsia="id-ID"/>
    </w:rPr>
  </w:style>
  <w:style w:type="character" w:styleId="CommentReference">
    <w:name w:val="annotation reference"/>
    <w:basedOn w:val="DefaultParagraphFont"/>
    <w:semiHidden/>
    <w:unhideWhenUsed/>
    <w:rsid w:val="00CD4143"/>
    <w:rPr>
      <w:sz w:val="16"/>
      <w:szCs w:val="16"/>
    </w:rPr>
  </w:style>
  <w:style w:type="paragraph" w:styleId="CommentText">
    <w:name w:val="annotation text"/>
    <w:basedOn w:val="Normal"/>
    <w:link w:val="CommentTextChar"/>
    <w:semiHidden/>
    <w:unhideWhenUsed/>
    <w:rsid w:val="00CD4143"/>
  </w:style>
  <w:style w:type="character" w:customStyle="1" w:styleId="CommentTextChar">
    <w:name w:val="Comment Text Char"/>
    <w:basedOn w:val="DefaultParagraphFont"/>
    <w:link w:val="CommentText"/>
    <w:semiHidden/>
    <w:rsid w:val="00CD4143"/>
    <w:rPr>
      <w:lang w:val="id-ID"/>
    </w:rPr>
  </w:style>
  <w:style w:type="paragraph" w:styleId="CommentSubject">
    <w:name w:val="annotation subject"/>
    <w:basedOn w:val="CommentText"/>
    <w:next w:val="CommentText"/>
    <w:link w:val="CommentSubjectChar"/>
    <w:semiHidden/>
    <w:unhideWhenUsed/>
    <w:rsid w:val="00CD4143"/>
    <w:rPr>
      <w:b/>
      <w:bCs/>
    </w:rPr>
  </w:style>
  <w:style w:type="character" w:customStyle="1" w:styleId="CommentSubjectChar">
    <w:name w:val="Comment Subject Char"/>
    <w:basedOn w:val="CommentTextChar"/>
    <w:link w:val="CommentSubject"/>
    <w:semiHidden/>
    <w:rsid w:val="00CD4143"/>
    <w:rPr>
      <w:b/>
      <w:bCs/>
      <w:lang w:val="id-ID"/>
    </w:rPr>
  </w:style>
  <w:style w:type="paragraph" w:customStyle="1" w:styleId="Default">
    <w:name w:val="Default"/>
    <w:rsid w:val="00295363"/>
    <w:pPr>
      <w:autoSpaceDE w:val="0"/>
      <w:autoSpaceDN w:val="0"/>
      <w:adjustRightInd w:val="0"/>
    </w:pPr>
    <w:rPr>
      <w:rFonts w:eastAsiaTheme="minorEastAsia"/>
      <w:color w:val="000000"/>
      <w:sz w:val="24"/>
      <w:szCs w:val="24"/>
    </w:rPr>
  </w:style>
  <w:style w:type="character" w:customStyle="1" w:styleId="reference-text">
    <w:name w:val="reference-text"/>
    <w:rsid w:val="00A63746"/>
  </w:style>
  <w:style w:type="character" w:customStyle="1" w:styleId="ListParagraphChar">
    <w:name w:val="List Paragraph Char"/>
    <w:aliases w:val="kepala Char,Light Grid - Accent 31 Char,Body of text Char,Tabel Char,judul Char,Lampiran Char"/>
    <w:link w:val="ListParagraph"/>
    <w:uiPriority w:val="34"/>
    <w:locked/>
    <w:rsid w:val="003401EB"/>
    <w:rPr>
      <w:lang w:val="id-ID"/>
    </w:rPr>
  </w:style>
  <w:style w:type="character" w:customStyle="1" w:styleId="fullpost">
    <w:name w:val="fullpost"/>
    <w:basedOn w:val="DefaultParagraphFont"/>
    <w:rsid w:val="00920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74219">
      <w:bodyDiv w:val="1"/>
      <w:marLeft w:val="0"/>
      <w:marRight w:val="0"/>
      <w:marTop w:val="0"/>
      <w:marBottom w:val="0"/>
      <w:divBdr>
        <w:top w:val="none" w:sz="0" w:space="0" w:color="auto"/>
        <w:left w:val="none" w:sz="0" w:space="0" w:color="auto"/>
        <w:bottom w:val="none" w:sz="0" w:space="0" w:color="auto"/>
        <w:right w:val="none" w:sz="0" w:space="0" w:color="auto"/>
      </w:divBdr>
    </w:div>
    <w:div w:id="277877683">
      <w:bodyDiv w:val="1"/>
      <w:marLeft w:val="0"/>
      <w:marRight w:val="0"/>
      <w:marTop w:val="0"/>
      <w:marBottom w:val="0"/>
      <w:divBdr>
        <w:top w:val="none" w:sz="0" w:space="0" w:color="auto"/>
        <w:left w:val="none" w:sz="0" w:space="0" w:color="auto"/>
        <w:bottom w:val="none" w:sz="0" w:space="0" w:color="auto"/>
        <w:right w:val="none" w:sz="0" w:space="0" w:color="auto"/>
      </w:divBdr>
    </w:div>
    <w:div w:id="1693528755">
      <w:bodyDiv w:val="1"/>
      <w:marLeft w:val="0"/>
      <w:marRight w:val="0"/>
      <w:marTop w:val="0"/>
      <w:marBottom w:val="0"/>
      <w:divBdr>
        <w:top w:val="none" w:sz="0" w:space="0" w:color="auto"/>
        <w:left w:val="none" w:sz="0" w:space="0" w:color="auto"/>
        <w:bottom w:val="none" w:sz="0" w:space="0" w:color="auto"/>
        <w:right w:val="none" w:sz="0" w:space="0" w:color="auto"/>
      </w:divBdr>
    </w:div>
    <w:div w:id="172664163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image" Target="media/image12.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hyperlink" Target="https://doi.org/10.%201193/1.1586058"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11.jpeg"/><Relationship Id="rId33" Type="http://schemas.openxmlformats.org/officeDocument/2006/relationships/hyperlink" Target="ftp://ftp.geo.uib.no/pub/seismo/SO-FTWARE/SESAME/USERGUIDELINES/%20SESAME-HV-User-Guidelines.pdf" TargetMode="Externa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image" Target="media/image6.jpeg"/><Relationship Id="rId29"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image" Target="media/image10.png"/><Relationship Id="rId32" Type="http://schemas.openxmlformats.org/officeDocument/2006/relationships/hyperlink" Target="https://doi.org/10.1016/j.tecto.2004.03.%20026"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9.png"/><Relationship Id="rId28" Type="http://schemas.openxmlformats.org/officeDocument/2006/relationships/image" Target="media/image14.wmf"/><Relationship Id="rId36" Type="http://schemas.openxmlformats.org/officeDocument/2006/relationships/header" Target="header3.xml"/><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hyperlink" Target="https://bnpb"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oleObject" Target="embeddings/oleObject2.bin"/><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hyperlink" Target="https://www.researchgate.net/journal/0036-8075_Science" TargetMode="External"/><Relationship Id="rId35" Type="http://schemas.openxmlformats.org/officeDocument/2006/relationships/hyperlink" Target="https://doi.org/10.%203133/ofr201110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FMIPA%20UNLAM\PENELITIAN\Jurnal%20Flux\template%20flux%202017\Template%20Flux%20201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23F96-EA4E-4083-ABAF-94AF65364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Flux 2017.dot</Template>
  <TotalTime>383</TotalTime>
  <Pages>11</Pages>
  <Words>5239</Words>
  <Characters>29865</Characters>
  <Application>Microsoft Office Word</Application>
  <DocSecurity>0</DocSecurity>
  <PresentationFormat/>
  <Lines>248</Lines>
  <Paragraphs>70</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Template Flux 2017</vt:lpstr>
    </vt:vector>
  </TitlesOfParts>
  <Company>Prodi Fisika FMIPA UNLAM</Company>
  <LinksUpToDate>false</LinksUpToDate>
  <CharactersWithSpaces>35034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Flux 2017</dc:title>
  <dc:subject>Versi a</dc:subject>
  <dc:creator>User</dc:creator>
  <cp:keywords>template; flux</cp:keywords>
  <dc:description/>
  <cp:lastModifiedBy>AMD_A8</cp:lastModifiedBy>
  <cp:revision>261</cp:revision>
  <cp:lastPrinted>2017-05-19T03:59:00Z</cp:lastPrinted>
  <dcterms:created xsi:type="dcterms:W3CDTF">2020-11-11T04:00:00Z</dcterms:created>
  <dcterms:modified xsi:type="dcterms:W3CDTF">2020-11-12T03:42:00Z</dcterms:modified>
  <cp:category>jurnal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1033-10.2.0.5820</vt:lpwstr>
  </property>
  <property fmtid="{D5CDD505-2E9C-101B-9397-08002B2CF9AE}" pid="3" name="Mendeley Document_1">
    <vt:lpwstr>True</vt:lpwstr>
  </property>
  <property fmtid="{D5CDD505-2E9C-101B-9397-08002B2CF9AE}" pid="4" name="Mendeley Unique User Id_1">
    <vt:lpwstr>85c92a79-6c1c-3320-a18d-5e82cda1c4cd</vt:lpwstr>
  </property>
  <property fmtid="{D5CDD505-2E9C-101B-9397-08002B2CF9AE}" pid="5" name="Mendeley Recent Style Id 0_1">
    <vt:lpwstr>http://www.zotero.org/styles/harvard-durham-university-business-school</vt:lpwstr>
  </property>
  <property fmtid="{D5CDD505-2E9C-101B-9397-08002B2CF9AE}" pid="6" name="Mendeley Recent Style Name 0_1">
    <vt:lpwstr>Harvard - Durham University Business School</vt:lpwstr>
  </property>
  <property fmtid="{D5CDD505-2E9C-101B-9397-08002B2CF9AE}" pid="7" name="Mendeley Recent Style Id 1_1">
    <vt:lpwstr>http://www.zotero.org/styles/harvard-educational-review</vt:lpwstr>
  </property>
  <property fmtid="{D5CDD505-2E9C-101B-9397-08002B2CF9AE}" pid="8" name="Mendeley Recent Style Name 1_1">
    <vt:lpwstr>Harvard Educational Review</vt:lpwstr>
  </property>
  <property fmtid="{D5CDD505-2E9C-101B-9397-08002B2CF9AE}" pid="9" name="Mendeley Recent Style Id 2_1">
    <vt:lpwstr>http://www.zotero.org/styles/harvard1</vt:lpwstr>
  </property>
  <property fmtid="{D5CDD505-2E9C-101B-9397-08002B2CF9AE}" pid="10" name="Mendeley Recent Style Name 2_1">
    <vt:lpwstr>Harvard Reference format 1 (author-date)</vt:lpwstr>
  </property>
  <property fmtid="{D5CDD505-2E9C-101B-9397-08002B2CF9AE}" pid="11" name="Mendeley Recent Style Id 3_1">
    <vt:lpwstr>http://www.zotero.org/styles/harvard7de</vt:lpwstr>
  </property>
  <property fmtid="{D5CDD505-2E9C-101B-9397-08002B2CF9AE}" pid="12" name="Mendeley Recent Style Name 3_1">
    <vt:lpwstr>Harvard Reference format 7 (author-date, German)</vt:lpwstr>
  </property>
  <property fmtid="{D5CDD505-2E9C-101B-9397-08002B2CF9AE}" pid="13" name="Mendeley Recent Style Id 4_1">
    <vt:lpwstr>http://www.zotero.org/styles/institute-of-physics-harvard</vt:lpwstr>
  </property>
  <property fmtid="{D5CDD505-2E9C-101B-9397-08002B2CF9AE}" pid="14" name="Mendeley Recent Style Name 4_1">
    <vt:lpwstr>Institute of Physics (Harvard)</vt:lpwstr>
  </property>
  <property fmtid="{D5CDD505-2E9C-101B-9397-08002B2CF9AE}" pid="15" name="Mendeley Recent Style Id 5_1">
    <vt:lpwstr>http://www.zotero.org/styles/nature</vt:lpwstr>
  </property>
  <property fmtid="{D5CDD505-2E9C-101B-9397-08002B2CF9AE}" pid="16" name="Mendeley Recent Style Name 5_1">
    <vt:lpwstr>Nature</vt:lpwstr>
  </property>
  <property fmtid="{D5CDD505-2E9C-101B-9397-08002B2CF9AE}" pid="17" name="Mendeley Recent Style Id 6_1">
    <vt:lpwstr>http://www.zotero.org/styles/taylor-and-francis-harvard-v</vt:lpwstr>
  </property>
  <property fmtid="{D5CDD505-2E9C-101B-9397-08002B2CF9AE}" pid="18" name="Mendeley Recent Style Name 6_1">
    <vt:lpwstr>Taylor &amp; Francis - Harvard V</vt:lpwstr>
  </property>
  <property fmtid="{D5CDD505-2E9C-101B-9397-08002B2CF9AE}" pid="19" name="Mendeley Recent Style Id 7_1">
    <vt:lpwstr>http://www.zotero.org/styles/taylor-and-francis-harvard-x</vt:lpwstr>
  </property>
  <property fmtid="{D5CDD505-2E9C-101B-9397-08002B2CF9AE}" pid="20" name="Mendeley Recent Style Name 7_1">
    <vt:lpwstr>Taylor &amp; Francis - Harvard X</vt:lpwstr>
  </property>
  <property fmtid="{D5CDD505-2E9C-101B-9397-08002B2CF9AE}" pid="21" name="Mendeley Recent Style Id 8_1">
    <vt:lpwstr>http://www.zotero.org/styles/the-open-university-harvard</vt:lpwstr>
  </property>
  <property fmtid="{D5CDD505-2E9C-101B-9397-08002B2CF9AE}" pid="22" name="Mendeley Recent Style Name 8_1">
    <vt:lpwstr>The Open University (Harvard)</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endeley Citation Style_1">
    <vt:lpwstr>http://www.zotero.org/styles/taylor-and-francis-harvard-x</vt:lpwstr>
  </property>
</Properties>
</file>