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5A54B1" w14:textId="77777777" w:rsidR="00A47DD3" w:rsidRDefault="00F04FB5">
      <w:pPr>
        <w:pBdr>
          <w:bottom w:val="single" w:sz="12" w:space="1" w:color="auto"/>
        </w:pBdr>
        <w:jc w:val="center"/>
        <w:rPr>
          <w:rFonts w:ascii="Times New Roman Bold" w:hAnsi="Times New Roman Bold" w:cs="Times New Roman Bold"/>
          <w:b/>
          <w:bCs/>
          <w:sz w:val="24"/>
          <w:szCs w:val="24"/>
        </w:rPr>
      </w:pPr>
      <w:r>
        <w:rPr>
          <w:rFonts w:ascii="Times New Roman Bold" w:hAnsi="Times New Roman Bold" w:cs="Times New Roman Bold"/>
          <w:b/>
          <w:bCs/>
          <w:sz w:val="24"/>
          <w:szCs w:val="24"/>
        </w:rPr>
        <w:t xml:space="preserve">AN ANALYSIS OF STUDENTS’ PHONOLOGICAL ERRORS IN PRONOUNCING </w:t>
      </w:r>
    </w:p>
    <w:p w14:paraId="3B6FB65C" w14:textId="77777777" w:rsidR="00A47DD3" w:rsidRDefault="00F04FB5">
      <w:pPr>
        <w:pBdr>
          <w:bottom w:val="single" w:sz="12" w:space="1" w:color="auto"/>
        </w:pBdr>
        <w:jc w:val="center"/>
        <w:rPr>
          <w:rFonts w:ascii="Times New Roman" w:hAnsi="Times New Roman" w:cs="Times New Roman"/>
          <w:b/>
          <w:sz w:val="24"/>
          <w:szCs w:val="24"/>
        </w:rPr>
      </w:pPr>
      <w:r>
        <w:rPr>
          <w:rFonts w:ascii="Times New Roman Bold" w:hAnsi="Times New Roman Bold" w:cs="Times New Roman Bold"/>
          <w:b/>
          <w:bCs/>
          <w:sz w:val="24"/>
          <w:szCs w:val="24"/>
        </w:rPr>
        <w:t>VOWEL DIPHTHONGS</w:t>
      </w:r>
    </w:p>
    <w:tbl>
      <w:tblPr>
        <w:tblStyle w:val="TableGrid0"/>
        <w:tblW w:w="0" w:type="auto"/>
        <w:tblInd w:w="5" w:type="dxa"/>
        <w:tblLook w:val="04A0" w:firstRow="1" w:lastRow="0" w:firstColumn="1" w:lastColumn="0" w:noHBand="0" w:noVBand="1"/>
      </w:tblPr>
      <w:tblGrid>
        <w:gridCol w:w="4185"/>
        <w:gridCol w:w="4831"/>
      </w:tblGrid>
      <w:tr w:rsidR="00A47DD3" w14:paraId="711B487D" w14:textId="77777777">
        <w:trPr>
          <w:trHeight w:val="689"/>
        </w:trPr>
        <w:tc>
          <w:tcPr>
            <w:tcW w:w="4185" w:type="dxa"/>
            <w:vMerge w:val="restart"/>
          </w:tcPr>
          <w:p w14:paraId="47B3B9C5" w14:textId="77777777" w:rsidR="00A47DD3" w:rsidRDefault="00F04FB5">
            <w:pPr>
              <w:spacing w:after="0" w:line="240" w:lineRule="auto"/>
              <w:rPr>
                <w:rFonts w:ascii="Times New Roman" w:hAnsi="Times New Roman" w:cs="Times New Roman"/>
                <w:sz w:val="20"/>
                <w:szCs w:val="20"/>
              </w:rPr>
            </w:pPr>
            <w:bookmarkStart w:id="0" w:name="_Hlk519239808"/>
            <w:r>
              <w:rPr>
                <w:rFonts w:ascii="Times New Roman" w:hAnsi="Times New Roman" w:cs="Times New Roman"/>
                <w:sz w:val="20"/>
                <w:szCs w:val="20"/>
              </w:rPr>
              <w:t>Rizky Mega Pertiwi</w:t>
            </w:r>
            <w:r>
              <w:rPr>
                <w:rFonts w:ascii="Times New Roman" w:hAnsi="Times New Roman" w:cs="Times New Roman"/>
                <w:sz w:val="20"/>
                <w:szCs w:val="20"/>
              </w:rPr>
              <w:br/>
            </w:r>
            <w:r>
              <w:rPr>
                <w:rFonts w:ascii="Times New Roman" w:hAnsi="Times New Roman" w:cs="Times New Roman"/>
                <w:sz w:val="20"/>
                <w:szCs w:val="20"/>
              </w:rPr>
              <w:t>Universitas Indo Global Mandiri</w:t>
            </w:r>
            <w:r>
              <w:rPr>
                <w:rFonts w:ascii="Times New Roman" w:hAnsi="Times New Roman" w:cs="Times New Roman"/>
                <w:sz w:val="20"/>
                <w:szCs w:val="20"/>
              </w:rPr>
              <w:br/>
            </w:r>
            <w:hyperlink r:id="rId9" w:history="1">
              <w:r>
                <w:rPr>
                  <w:rStyle w:val="Hyperlink"/>
                  <w:rFonts w:ascii="Times New Roman" w:hAnsi="Times New Roman" w:cs="Times New Roman"/>
                  <w:sz w:val="20"/>
                  <w:szCs w:val="20"/>
                </w:rPr>
                <w:t>2021710024@students.uigm.ac.id</w:t>
              </w:r>
            </w:hyperlink>
          </w:p>
          <w:p w14:paraId="54EA85F1" w14:textId="77777777" w:rsidR="00A47DD3" w:rsidRDefault="00A47DD3">
            <w:pPr>
              <w:spacing w:after="0" w:line="240" w:lineRule="auto"/>
              <w:rPr>
                <w:rFonts w:ascii="Times New Roman" w:hAnsi="Times New Roman" w:cs="Times New Roman"/>
                <w:sz w:val="20"/>
                <w:szCs w:val="20"/>
              </w:rPr>
            </w:pPr>
          </w:p>
          <w:p w14:paraId="4421646A" w14:textId="77777777" w:rsidR="00A47DD3" w:rsidRDefault="00F04FB5">
            <w:pPr>
              <w:spacing w:after="0" w:line="240" w:lineRule="auto"/>
              <w:rPr>
                <w:rFonts w:ascii="Times New Roman Italic" w:hAnsi="Times New Roman Italic" w:cs="Times New Roman Italic"/>
                <w:i/>
                <w:iCs/>
                <w:sz w:val="20"/>
                <w:szCs w:val="20"/>
              </w:rPr>
            </w:pPr>
            <w:r>
              <w:rPr>
                <w:rFonts w:ascii="Times New Roman" w:hAnsi="Times New Roman" w:cs="Times New Roman"/>
                <w:sz w:val="20"/>
                <w:szCs w:val="20"/>
              </w:rPr>
              <w:t>Dita Rizki Anggraini</w:t>
            </w:r>
            <w:r>
              <w:rPr>
                <w:rFonts w:ascii="Times New Roman" w:hAnsi="Times New Roman" w:cs="Times New Roman"/>
                <w:sz w:val="20"/>
                <w:szCs w:val="20"/>
              </w:rPr>
              <w:br/>
            </w:r>
            <w:r>
              <w:rPr>
                <w:rFonts w:ascii="Times New Roman" w:hAnsi="Times New Roman" w:cs="Times New Roman"/>
                <w:sz w:val="20"/>
                <w:szCs w:val="20"/>
              </w:rPr>
              <w:t>Universitas Indo Global Mandiri</w:t>
            </w:r>
            <w:r>
              <w:rPr>
                <w:rFonts w:ascii="Times New Roman" w:hAnsi="Times New Roman" w:cs="Times New Roman"/>
                <w:sz w:val="20"/>
                <w:szCs w:val="20"/>
              </w:rPr>
              <w:br/>
            </w:r>
            <w:hyperlink r:id="rId10" w:history="1">
              <w:r>
                <w:rPr>
                  <w:rStyle w:val="Hyperlink"/>
                  <w:rFonts w:ascii="Times New Roman Italic" w:hAnsi="Times New Roman Italic" w:cs="Times New Roman Italic"/>
                  <w:i/>
                  <w:iCs/>
                  <w:sz w:val="20"/>
                  <w:szCs w:val="20"/>
                </w:rPr>
                <w:t>dita</w:t>
              </w:r>
              <w:r>
                <w:rPr>
                  <w:rStyle w:val="Hyperlink"/>
                  <w:rFonts w:ascii="Times New Roman Italic" w:hAnsi="Times New Roman Italic" w:cs="Times New Roman Italic"/>
                  <w:i/>
                  <w:iCs/>
                  <w:sz w:val="20"/>
                  <w:szCs w:val="20"/>
                </w:rPr>
                <w:t>rizki</w:t>
              </w:r>
              <w:r>
                <w:rPr>
                  <w:rStyle w:val="Hyperlink"/>
                  <w:rFonts w:ascii="Times New Roman Italic" w:hAnsi="Times New Roman Italic" w:cs="Times New Roman Italic"/>
                  <w:i/>
                  <w:iCs/>
                  <w:sz w:val="20"/>
                  <w:szCs w:val="20"/>
                </w:rPr>
                <w:t>@uigm.ac.id</w:t>
              </w:r>
            </w:hyperlink>
          </w:p>
          <w:p w14:paraId="501605A2" w14:textId="77777777" w:rsidR="00A47DD3" w:rsidRDefault="00A47DD3">
            <w:pPr>
              <w:spacing w:after="0" w:line="240" w:lineRule="auto"/>
              <w:rPr>
                <w:rFonts w:ascii="Times New Roman" w:hAnsi="Times New Roman" w:cs="Times New Roman"/>
                <w:i/>
                <w:sz w:val="20"/>
                <w:szCs w:val="20"/>
              </w:rPr>
            </w:pPr>
          </w:p>
          <w:p w14:paraId="77E2EA7F" w14:textId="77777777" w:rsidR="00A47DD3" w:rsidRDefault="00F04FB5">
            <w:pPr>
              <w:spacing w:after="0" w:line="240" w:lineRule="auto"/>
              <w:rPr>
                <w:rFonts w:ascii="Times New Roman" w:hAnsi="Times New Roman"/>
                <w:i/>
                <w:sz w:val="20"/>
                <w:szCs w:val="20"/>
              </w:rPr>
            </w:pPr>
            <w:r>
              <w:rPr>
                <w:rFonts w:ascii="Times New Roman" w:hAnsi="Times New Roman" w:cs="Times New Roman"/>
                <w:sz w:val="20"/>
                <w:szCs w:val="20"/>
              </w:rPr>
              <w:t>Dio Resta Permana</w:t>
            </w:r>
            <w:r>
              <w:rPr>
                <w:rFonts w:ascii="Times New Roman" w:hAnsi="Times New Roman" w:cs="Times New Roman"/>
                <w:sz w:val="20"/>
                <w:szCs w:val="20"/>
              </w:rPr>
              <w:br/>
            </w:r>
            <w:r>
              <w:rPr>
                <w:rFonts w:ascii="Times New Roman" w:hAnsi="Times New Roman" w:cs="Times New Roman"/>
                <w:sz w:val="20"/>
                <w:szCs w:val="20"/>
              </w:rPr>
              <w:t>Universitas Indo Global Mandiri</w:t>
            </w:r>
            <w:r>
              <w:rPr>
                <w:rFonts w:ascii="Times New Roman" w:hAnsi="Times New Roman" w:cs="Times New Roman"/>
                <w:sz w:val="20"/>
                <w:szCs w:val="20"/>
              </w:rPr>
              <w:br/>
            </w:r>
            <w:hyperlink r:id="rId11" w:history="1">
              <w:r>
                <w:rPr>
                  <w:rStyle w:val="Hyperlink"/>
                  <w:rFonts w:ascii="Times New Roman" w:hAnsi="Times New Roman"/>
                  <w:i/>
                  <w:sz w:val="20"/>
                  <w:szCs w:val="20"/>
                </w:rPr>
                <w:t>dio@uigm.ac.id</w:t>
              </w:r>
            </w:hyperlink>
          </w:p>
        </w:tc>
        <w:tc>
          <w:tcPr>
            <w:tcW w:w="4831" w:type="dxa"/>
          </w:tcPr>
          <w:p w14:paraId="574AF163" w14:textId="77777777" w:rsidR="00A47DD3" w:rsidRDefault="00F04FB5">
            <w:pPr>
              <w:pStyle w:val="NormalWeb"/>
              <w:jc w:val="both"/>
              <w:rPr>
                <w:sz w:val="20"/>
                <w:szCs w:val="20"/>
              </w:rPr>
            </w:pPr>
            <w:r>
              <w:rPr>
                <w:b/>
                <w:sz w:val="20"/>
                <w:szCs w:val="20"/>
              </w:rPr>
              <w:t>Abstract:</w:t>
            </w:r>
            <w:r>
              <w:rPr>
                <w:sz w:val="20"/>
                <w:szCs w:val="20"/>
              </w:rPr>
              <w:t xml:space="preserve"> </w:t>
            </w:r>
            <w:r>
              <w:rPr>
                <w:color w:val="000000"/>
                <w:sz w:val="20"/>
                <w:szCs w:val="20"/>
              </w:rPr>
              <w:t>Phonological errors remain a challenge for EFL learners, particularly in pronouncing English vowel diphthongs that differ from their first language. This study analyzes the types of phonological errors made by sixth-semester students at Universitas Indo Gl</w:t>
            </w:r>
            <w:r>
              <w:rPr>
                <w:color w:val="000000"/>
                <w:sz w:val="20"/>
                <w:szCs w:val="20"/>
              </w:rPr>
              <w:t>obal Mandiri, identifies the most frequently mispronounced diphthongs, and explores the relationship between their theoretical understanding and pronunciation accuracy. A descriptive qualitative approach was employed involving 26 participants. Data were co</w:t>
            </w:r>
            <w:r>
              <w:rPr>
                <w:color w:val="000000"/>
                <w:sz w:val="20"/>
                <w:szCs w:val="20"/>
              </w:rPr>
              <w:t>llected through a pronunciation test and a questionnaire, then analyzed through phonetic transcription based on the International Phonetic Alphabet (IPA). A simple statistical test (Chi-Square) was applied in a limited manner to provide empirical support f</w:t>
            </w:r>
            <w:r>
              <w:rPr>
                <w:color w:val="000000"/>
                <w:sz w:val="20"/>
                <w:szCs w:val="20"/>
              </w:rPr>
              <w:t>or the qualitative findings and to strengthen the interpretation of the results. Data trustworthiness was ensured through methodological triangulation involving pronunciation tests, questionnaires, and validation by a rater. The findings revealed 216 error</w:t>
            </w:r>
            <w:r>
              <w:rPr>
                <w:color w:val="000000"/>
                <w:sz w:val="20"/>
                <w:szCs w:val="20"/>
              </w:rPr>
              <w:t xml:space="preserve">s out of 936 attempts (23.1%), with </w:t>
            </w:r>
            <w:r>
              <w:rPr>
                <w:rFonts w:ascii="Times New Roman Italic" w:hAnsi="Times New Roman Italic" w:cs="Times New Roman Italic"/>
                <w:i/>
                <w:iCs/>
                <w:color w:val="000000"/>
                <w:sz w:val="20"/>
                <w:szCs w:val="20"/>
              </w:rPr>
              <w:t>misformation</w:t>
            </w:r>
            <w:r>
              <w:rPr>
                <w:color w:val="000000"/>
                <w:sz w:val="20"/>
                <w:szCs w:val="20"/>
              </w:rPr>
              <w:t xml:space="preserve"> as the most frequent error (56.9%), followed by </w:t>
            </w:r>
            <w:r>
              <w:rPr>
                <w:rFonts w:ascii="Times New Roman Italic" w:hAnsi="Times New Roman Italic" w:cs="Times New Roman Italic"/>
                <w:i/>
                <w:iCs/>
                <w:color w:val="000000"/>
                <w:sz w:val="20"/>
                <w:szCs w:val="20"/>
              </w:rPr>
              <w:t>omission</w:t>
            </w:r>
            <w:r>
              <w:rPr>
                <w:color w:val="000000"/>
                <w:sz w:val="20"/>
                <w:szCs w:val="20"/>
              </w:rPr>
              <w:t xml:space="preserve"> (40.7%) and </w:t>
            </w:r>
            <w:r>
              <w:rPr>
                <w:rFonts w:ascii="Times New Roman Italic" w:hAnsi="Times New Roman Italic" w:cs="Times New Roman Italic"/>
                <w:i/>
                <w:iCs/>
                <w:color w:val="000000"/>
                <w:sz w:val="20"/>
                <w:szCs w:val="20"/>
              </w:rPr>
              <w:t>addition</w:t>
            </w:r>
            <w:r>
              <w:rPr>
                <w:color w:val="000000"/>
                <w:sz w:val="20"/>
                <w:szCs w:val="20"/>
              </w:rPr>
              <w:t xml:space="preserve"> (2.3%), while no </w:t>
            </w:r>
            <w:r>
              <w:rPr>
                <w:rFonts w:ascii="Times New Roman Italic" w:hAnsi="Times New Roman Italic" w:cs="Times New Roman Italic"/>
                <w:i/>
                <w:iCs/>
                <w:color w:val="000000"/>
                <w:sz w:val="20"/>
                <w:szCs w:val="20"/>
              </w:rPr>
              <w:t>misordering</w:t>
            </w:r>
            <w:r>
              <w:rPr>
                <w:color w:val="000000"/>
                <w:sz w:val="20"/>
                <w:szCs w:val="20"/>
              </w:rPr>
              <w:t xml:space="preserve"> was found. The diphthongs /</w:t>
            </w:r>
            <w:r>
              <w:rPr>
                <w:color w:val="000000"/>
                <w:sz w:val="20"/>
                <w:szCs w:val="20"/>
              </w:rPr>
              <w:t>əʊ</w:t>
            </w:r>
            <w:r>
              <w:rPr>
                <w:color w:val="000000"/>
                <w:sz w:val="20"/>
                <w:szCs w:val="20"/>
              </w:rPr>
              <w:t>/, /e</w:t>
            </w:r>
            <w:r>
              <w:rPr>
                <w:color w:val="000000"/>
                <w:sz w:val="20"/>
                <w:szCs w:val="20"/>
              </w:rPr>
              <w:t>ɪ</w:t>
            </w:r>
            <w:r>
              <w:rPr>
                <w:color w:val="000000"/>
                <w:sz w:val="20"/>
                <w:szCs w:val="20"/>
              </w:rPr>
              <w:t>/, and /</w:t>
            </w:r>
            <w:r>
              <w:rPr>
                <w:color w:val="000000"/>
                <w:sz w:val="20"/>
                <w:szCs w:val="20"/>
              </w:rPr>
              <w:t>ɪə</w:t>
            </w:r>
            <w:r>
              <w:rPr>
                <w:color w:val="000000"/>
                <w:sz w:val="20"/>
                <w:szCs w:val="20"/>
              </w:rPr>
              <w:t>/ were the most problematic, largely due to articulator</w:t>
            </w:r>
            <w:r>
              <w:rPr>
                <w:color w:val="000000"/>
                <w:sz w:val="20"/>
                <w:szCs w:val="20"/>
              </w:rPr>
              <w:t xml:space="preserve">y complexity and the absence of equivalents in </w:t>
            </w:r>
            <w:r>
              <w:rPr>
                <w:rFonts w:ascii="Times New Roman Italic" w:hAnsi="Times New Roman Italic" w:cs="Times New Roman Italic"/>
                <w:i/>
                <w:iCs/>
                <w:color w:val="000000"/>
                <w:sz w:val="20"/>
                <w:szCs w:val="20"/>
              </w:rPr>
              <w:t>Bahasa Indonesia</w:t>
            </w:r>
            <w:r>
              <w:rPr>
                <w:color w:val="000000"/>
                <w:sz w:val="20"/>
                <w:szCs w:val="20"/>
              </w:rPr>
              <w:t>, while /</w:t>
            </w:r>
            <w:r>
              <w:rPr>
                <w:color w:val="000000"/>
                <w:sz w:val="20"/>
                <w:szCs w:val="20"/>
              </w:rPr>
              <w:t>ɔɪ</w:t>
            </w:r>
            <w:r>
              <w:rPr>
                <w:color w:val="000000"/>
                <w:sz w:val="20"/>
                <w:szCs w:val="20"/>
              </w:rPr>
              <w:t>/ showed the fewest errors. These results indicate that theoretical knowledge of phonology does not necessarily ensure accurate pronunciation, emphasizing the importance of articulat</w:t>
            </w:r>
            <w:r>
              <w:rPr>
                <w:color w:val="000000"/>
                <w:sz w:val="20"/>
                <w:szCs w:val="20"/>
              </w:rPr>
              <w:t>ory training, auditory exposure, and continuous practice in English pronunciation instruction.</w:t>
            </w:r>
          </w:p>
        </w:tc>
      </w:tr>
      <w:tr w:rsidR="00A47DD3" w14:paraId="1B86FB00" w14:textId="77777777">
        <w:trPr>
          <w:trHeight w:val="688"/>
        </w:trPr>
        <w:tc>
          <w:tcPr>
            <w:tcW w:w="4185" w:type="dxa"/>
            <w:vMerge/>
          </w:tcPr>
          <w:p w14:paraId="3EB8E855" w14:textId="77777777" w:rsidR="00A47DD3" w:rsidRDefault="00A47DD3">
            <w:pPr>
              <w:spacing w:after="0" w:line="240" w:lineRule="auto"/>
              <w:jc w:val="center"/>
              <w:rPr>
                <w:rFonts w:ascii="Times New Roman" w:hAnsi="Times New Roman" w:cs="Times New Roman"/>
                <w:sz w:val="20"/>
                <w:szCs w:val="20"/>
              </w:rPr>
            </w:pPr>
          </w:p>
        </w:tc>
        <w:tc>
          <w:tcPr>
            <w:tcW w:w="4831" w:type="dxa"/>
          </w:tcPr>
          <w:p w14:paraId="56B5E7B5" w14:textId="77777777" w:rsidR="00A47DD3" w:rsidRDefault="00F04FB5">
            <w:pPr>
              <w:pStyle w:val="BodyText"/>
              <w:spacing w:after="0" w:line="240" w:lineRule="auto"/>
              <w:ind w:firstLine="0"/>
              <w:jc w:val="left"/>
              <w:rPr>
                <w:rFonts w:ascii="Times New Roman" w:hAnsi="Times New Roman"/>
                <w:sz w:val="20"/>
              </w:rPr>
            </w:pPr>
            <w:r>
              <w:rPr>
                <w:rFonts w:ascii="Times New Roman" w:hAnsi="Times New Roman"/>
                <w:b/>
                <w:sz w:val="20"/>
              </w:rPr>
              <w:t>Keywords:</w:t>
            </w:r>
            <w:r>
              <w:rPr>
                <w:rFonts w:ascii="Times New Roman" w:hAnsi="Times New Roman"/>
                <w:sz w:val="20"/>
              </w:rPr>
              <w:t xml:space="preserve"> </w:t>
            </w:r>
            <w:r>
              <w:rPr>
                <w:rFonts w:ascii="Times New Roman Italic" w:hAnsi="Times New Roman Italic" w:cs="Times New Roman Italic"/>
                <w:i/>
                <w:iCs/>
                <w:sz w:val="20"/>
                <w:lang w:val="id-ID"/>
              </w:rPr>
              <w:t>phonological errors</w:t>
            </w:r>
            <w:r>
              <w:rPr>
                <w:rFonts w:ascii="Times New Roman Italic" w:hAnsi="Times New Roman Italic" w:cs="Times New Roman Italic"/>
                <w:i/>
                <w:iCs/>
                <w:sz w:val="20"/>
              </w:rPr>
              <w:t xml:space="preserve">, </w:t>
            </w:r>
            <w:r>
              <w:rPr>
                <w:rFonts w:ascii="Times New Roman Italic" w:hAnsi="Times New Roman Italic" w:cs="Times New Roman Italic"/>
                <w:i/>
                <w:iCs/>
                <w:sz w:val="20"/>
                <w:lang w:val="id-ID"/>
              </w:rPr>
              <w:t>pronunciation accuracy</w:t>
            </w:r>
            <w:r>
              <w:rPr>
                <w:rFonts w:ascii="Times New Roman Italic" w:hAnsi="Times New Roman Italic" w:cs="Times New Roman Italic"/>
                <w:i/>
                <w:iCs/>
                <w:sz w:val="20"/>
              </w:rPr>
              <w:t xml:space="preserve">, </w:t>
            </w:r>
            <w:r>
              <w:rPr>
                <w:rFonts w:ascii="Times New Roman Italic" w:hAnsi="Times New Roman Italic" w:cs="Times New Roman Italic"/>
                <w:i/>
                <w:iCs/>
                <w:sz w:val="20"/>
                <w:lang w:val="id-ID"/>
              </w:rPr>
              <w:t>surface strategy taxonomy</w:t>
            </w:r>
            <w:r>
              <w:rPr>
                <w:rFonts w:ascii="Times New Roman Italic" w:hAnsi="Times New Roman Italic" w:cs="Times New Roman Italic"/>
                <w:i/>
                <w:iCs/>
                <w:sz w:val="20"/>
              </w:rPr>
              <w:t xml:space="preserve">, </w:t>
            </w:r>
            <w:r>
              <w:rPr>
                <w:rFonts w:ascii="Times New Roman Italic" w:hAnsi="Times New Roman Italic" w:cs="Times New Roman Italic"/>
                <w:i/>
                <w:iCs/>
                <w:sz w:val="20"/>
                <w:lang w:val="id-ID"/>
              </w:rPr>
              <w:t>vowel diphthongs</w:t>
            </w:r>
            <w:r>
              <w:rPr>
                <w:rFonts w:ascii="Times New Roman Italic" w:hAnsi="Times New Roman Italic" w:cs="Times New Roman Italic"/>
                <w:i/>
                <w:iCs/>
                <w:sz w:val="20"/>
              </w:rPr>
              <w:t>.</w:t>
            </w:r>
          </w:p>
        </w:tc>
      </w:tr>
    </w:tbl>
    <w:p w14:paraId="2457E639" w14:textId="77777777" w:rsidR="00A47DD3" w:rsidRDefault="00A47DD3">
      <w:pPr>
        <w:pBdr>
          <w:bottom w:val="single" w:sz="12" w:space="1" w:color="auto"/>
        </w:pBdr>
        <w:jc w:val="center"/>
        <w:rPr>
          <w:rFonts w:ascii="Times New Roman" w:hAnsi="Times New Roman" w:cs="Times New Roman"/>
          <w:sz w:val="24"/>
          <w:szCs w:val="24"/>
        </w:rPr>
      </w:pPr>
    </w:p>
    <w:bookmarkEnd w:id="0"/>
    <w:p w14:paraId="5B27ED86" w14:textId="77777777" w:rsidR="00A47DD3" w:rsidRDefault="00F04FB5">
      <w:pPr>
        <w:jc w:val="both"/>
        <w:rPr>
          <w:rFonts w:ascii="Times New Roman" w:hAnsi="Times New Roman" w:cs="Times New Roman"/>
          <w:b/>
          <w:sz w:val="24"/>
          <w:szCs w:val="24"/>
        </w:rPr>
      </w:pPr>
      <w:r>
        <w:rPr>
          <w:rFonts w:ascii="Times New Roman" w:hAnsi="Times New Roman" w:cs="Times New Roman"/>
          <w:b/>
          <w:sz w:val="24"/>
          <w:szCs w:val="24"/>
        </w:rPr>
        <w:t>INTRODUCTION</w:t>
      </w:r>
    </w:p>
    <w:p w14:paraId="25D01F33" w14:textId="77777777" w:rsidR="00A47DD3" w:rsidRDefault="00F04FB5">
      <w:pPr>
        <w:pStyle w:val="NormalWeb"/>
        <w:spacing w:beforeAutospacing="0" w:after="120" w:afterAutospacing="0"/>
        <w:ind w:firstLineChars="200" w:firstLine="480"/>
        <w:jc w:val="both"/>
        <w:rPr>
          <w:color w:val="000000"/>
        </w:rPr>
      </w:pPr>
      <w:r>
        <w:rPr>
          <w:color w:val="000000"/>
        </w:rPr>
        <w:t xml:space="preserve">Language serves as a fundamental means of </w:t>
      </w:r>
      <w:r>
        <w:rPr>
          <w:color w:val="000000"/>
        </w:rPr>
        <w:t>human communication and cultural exchange. In today’s globalized era, English has become the world’s lingua franca that enables people to interact across nations and disciplines (Crystal, 20</w:t>
      </w:r>
      <w:r>
        <w:rPr>
          <w:color w:val="000000"/>
        </w:rPr>
        <w:t>0</w:t>
      </w:r>
      <w:r>
        <w:rPr>
          <w:color w:val="000000"/>
        </w:rPr>
        <w:t xml:space="preserve">3). English proficiency, however, remains a persistent challenge </w:t>
      </w:r>
      <w:r>
        <w:rPr>
          <w:color w:val="000000"/>
        </w:rPr>
        <w:t>for learners in non-native contexts, particularly in pronunciation</w:t>
      </w:r>
      <w:r>
        <w:rPr>
          <w:color w:val="000000"/>
        </w:rPr>
        <w:t xml:space="preserve"> </w:t>
      </w:r>
      <w:r>
        <w:rPr>
          <w:color w:val="000000"/>
        </w:rPr>
        <w:t>a crucial component of communicative competence that directly affects intelligibility and mutual understanding (Almalki &amp; Algethami, 2022). Pronunciation problems frequently hinder Indonesi</w:t>
      </w:r>
      <w:r>
        <w:rPr>
          <w:color w:val="000000"/>
        </w:rPr>
        <w:t>an learners from achieving fluency, especially in the articulation of vowel diphthongs, which differ significantly from the simpler vowel system of Bahasa Indonesia (Pratiwi &amp; Indrayani, 2021). As a result, mispronunciations often occur, reducing clarity a</w:t>
      </w:r>
      <w:r>
        <w:rPr>
          <w:color w:val="000000"/>
        </w:rPr>
        <w:t>nd sometimes altering the intended meaning of utterances.</w:t>
      </w:r>
    </w:p>
    <w:p w14:paraId="3C49A21F" w14:textId="77777777" w:rsidR="00A47DD3" w:rsidRDefault="00F04FB5">
      <w:pPr>
        <w:spacing w:after="120" w:line="240" w:lineRule="auto"/>
        <w:ind w:firstLineChars="200" w:firstLine="480"/>
        <w:jc w:val="both"/>
        <w:rPr>
          <w:rFonts w:ascii="Times New Roman" w:hAnsi="Times New Roman"/>
          <w:sz w:val="24"/>
          <w:szCs w:val="24"/>
        </w:rPr>
      </w:pPr>
      <w:r>
        <w:rPr>
          <w:rFonts w:ascii="Times New Roman" w:hAnsi="Times New Roman"/>
          <w:sz w:val="24"/>
          <w:szCs w:val="24"/>
        </w:rPr>
        <w:t>In Indonesia, English has been integrated into the national curriculum to prepare students for globalization. However, the country’s overall proficiency remains relatively low compared to other Asia</w:t>
      </w:r>
      <w:r>
        <w:rPr>
          <w:rFonts w:ascii="Times New Roman" w:hAnsi="Times New Roman"/>
          <w:sz w:val="24"/>
          <w:szCs w:val="24"/>
        </w:rPr>
        <w:t xml:space="preserve">n nations (EF EPI, 2023). Learners often struggle with pronunciation because of </w:t>
      </w:r>
      <w:r>
        <w:rPr>
          <w:rFonts w:ascii="Times New Roman" w:hAnsi="Times New Roman"/>
          <w:sz w:val="24"/>
          <w:szCs w:val="24"/>
        </w:rPr>
        <w:lastRenderedPageBreak/>
        <w:t>first language interference and limited training. For example, diphthongs such as /a</w:t>
      </w:r>
      <w:r>
        <w:rPr>
          <w:rFonts w:ascii="Times New Roman" w:hAnsi="Times New Roman"/>
          <w:sz w:val="24"/>
          <w:szCs w:val="24"/>
        </w:rPr>
        <w:t>ʊ</w:t>
      </w:r>
      <w:r>
        <w:rPr>
          <w:rFonts w:ascii="Times New Roman" w:hAnsi="Times New Roman"/>
          <w:sz w:val="24"/>
          <w:szCs w:val="24"/>
        </w:rPr>
        <w:t>/ in how or /</w:t>
      </w:r>
      <w:r>
        <w:rPr>
          <w:rFonts w:ascii="Times New Roman" w:hAnsi="Times New Roman"/>
          <w:sz w:val="24"/>
          <w:szCs w:val="24"/>
        </w:rPr>
        <w:t>əʊ</w:t>
      </w:r>
      <w:r>
        <w:rPr>
          <w:rFonts w:ascii="Times New Roman" w:hAnsi="Times New Roman"/>
          <w:sz w:val="24"/>
          <w:szCs w:val="24"/>
        </w:rPr>
        <w:t>/ in go are frequently simplified into monophthongs, reflecting the influenc</w:t>
      </w:r>
      <w:r>
        <w:rPr>
          <w:rFonts w:ascii="Times New Roman" w:hAnsi="Times New Roman"/>
          <w:sz w:val="24"/>
          <w:szCs w:val="24"/>
        </w:rPr>
        <w:t>e of Bahasa Indonesia’s five-vowel system (Pratiwi &amp; Indrayani, 2021). A recent study by Listyani, Kurniawan, and Thren (2024) also highlighted that Indonesian EFL students frequently mispronounce English words due to phonetic transfer from their native la</w:t>
      </w:r>
      <w:r>
        <w:rPr>
          <w:rFonts w:ascii="Times New Roman" w:hAnsi="Times New Roman"/>
          <w:sz w:val="24"/>
          <w:szCs w:val="24"/>
        </w:rPr>
        <w:t>nguage, which negatively affects communication. Given the increasing demand for proficient English speakers in Indonesia’s academic and professional sectors, addressing learners’ persistent pronunciation difficulties has become more pressing than ever.</w:t>
      </w:r>
    </w:p>
    <w:p w14:paraId="6FDD5ABF" w14:textId="77777777" w:rsidR="00A47DD3" w:rsidRDefault="00F04FB5">
      <w:pPr>
        <w:spacing w:after="120" w:line="240" w:lineRule="auto"/>
        <w:ind w:firstLineChars="200" w:firstLine="480"/>
        <w:jc w:val="both"/>
        <w:rPr>
          <w:rFonts w:ascii="Times New Roman" w:hAnsi="Times New Roman"/>
          <w:sz w:val="24"/>
          <w:szCs w:val="24"/>
        </w:rPr>
      </w:pPr>
      <w:r>
        <w:rPr>
          <w:rFonts w:ascii="Times New Roman" w:hAnsi="Times New Roman"/>
          <w:sz w:val="24"/>
          <w:szCs w:val="24"/>
        </w:rPr>
        <w:t>Giv</w:t>
      </w:r>
      <w:r>
        <w:rPr>
          <w:rFonts w:ascii="Times New Roman" w:hAnsi="Times New Roman"/>
          <w:sz w:val="24"/>
          <w:szCs w:val="24"/>
        </w:rPr>
        <w:t xml:space="preserve">en these persistent pronunciation challenges, error analysis offers a useful framework to examine the nature and sources of learners’ mispronunciations. Dulay, Burt, and Krashen’s (1982) Surface Strategy Taxonomy covering omission, addition, misformation, </w:t>
      </w:r>
      <w:r>
        <w:rPr>
          <w:rFonts w:ascii="Times New Roman" w:hAnsi="Times New Roman"/>
          <w:sz w:val="24"/>
          <w:szCs w:val="24"/>
        </w:rPr>
        <w:t>and misordering has been widely applied to investigate systematic deviations in second language production. Findings from Indonesian contexts indicate that misformation is the most common error type in pronouncing diphthongs (Ammar, Hartono, &amp; Anggraini, 2</w:t>
      </w:r>
      <w:r>
        <w:rPr>
          <w:rFonts w:ascii="Times New Roman" w:hAnsi="Times New Roman"/>
          <w:sz w:val="24"/>
          <w:szCs w:val="24"/>
        </w:rPr>
        <w:t>021). Other studies, such as Aziz et al. (2023), reported frequent omission and substitution, while Lubis et al. (2022) noted that insufficient articulatory training worsened pronunciation problems. Raghuram (2022) further emphasized the role of linguistic</w:t>
      </w:r>
      <w:r>
        <w:rPr>
          <w:rFonts w:ascii="Times New Roman" w:hAnsi="Times New Roman"/>
          <w:sz w:val="24"/>
          <w:szCs w:val="24"/>
        </w:rPr>
        <w:t xml:space="preserve">s in linking theoretical knowledge to classroom practice, showing why pronunciation research should examine not only the types of errors but also their connection with learners’ phonological awareness. As noted by Yule (2020), phonological awareness plays </w:t>
      </w:r>
      <w:r>
        <w:rPr>
          <w:rFonts w:ascii="Times New Roman" w:hAnsi="Times New Roman"/>
          <w:sz w:val="24"/>
          <w:szCs w:val="24"/>
        </w:rPr>
        <w:t>a crucial role in helping learners recognize and produce sounds more accurately, thereby reducing systematic pronunciation errors. Similarly, Fromkin (2018) explained that linguistic knowledge supports learners’ understanding of sound structures, which str</w:t>
      </w:r>
      <w:r>
        <w:rPr>
          <w:rFonts w:ascii="Times New Roman" w:hAnsi="Times New Roman"/>
          <w:sz w:val="24"/>
          <w:szCs w:val="24"/>
        </w:rPr>
        <w:t>engthens their ability to avoid recurring phonological mistakes.</w:t>
      </w:r>
    </w:p>
    <w:p w14:paraId="19EF4946" w14:textId="77777777" w:rsidR="00A47DD3" w:rsidRDefault="00F04FB5">
      <w:pPr>
        <w:spacing w:after="120" w:line="240" w:lineRule="auto"/>
        <w:ind w:firstLineChars="200" w:firstLine="480"/>
        <w:jc w:val="both"/>
        <w:rPr>
          <w:rFonts w:ascii="Times New Roman" w:hAnsi="Times New Roman"/>
          <w:sz w:val="24"/>
          <w:szCs w:val="24"/>
        </w:rPr>
      </w:pPr>
      <w:r>
        <w:rPr>
          <w:rFonts w:ascii="Times New Roman" w:hAnsi="Times New Roman"/>
          <w:sz w:val="24"/>
          <w:szCs w:val="24"/>
        </w:rPr>
        <w:t>Beyond Indonesia, research in other EFL settings has produced similar findings. Najeeb (2024) revealed that Kurdish learners consistently mispronounced diphthongs absent in their first langua</w:t>
      </w:r>
      <w:r>
        <w:rPr>
          <w:rFonts w:ascii="Times New Roman" w:hAnsi="Times New Roman"/>
          <w:sz w:val="24"/>
          <w:szCs w:val="24"/>
        </w:rPr>
        <w:t>ge, while Hayes-Harb and Barrios (2021) demonstrated that orthographic or explicit input did not always result in accurate production. Abaker (2020) likewise observed that Sudanese learners struggled to pronounce diphthongs accurately despite classroom ins</w:t>
      </w:r>
      <w:r>
        <w:rPr>
          <w:rFonts w:ascii="Times New Roman" w:hAnsi="Times New Roman"/>
          <w:sz w:val="24"/>
          <w:szCs w:val="24"/>
        </w:rPr>
        <w:t>truction. These studies confirm that vowel diphthongs are a common source of errors across contexts, yet they have rarely explored the</w:t>
      </w:r>
      <w:r>
        <w:rPr>
          <w:rFonts w:ascii="Times New Roman" w:hAnsi="Times New Roman"/>
          <w:sz w:val="24"/>
          <w:szCs w:val="24"/>
        </w:rPr>
        <w:t>1</w:t>
      </w:r>
      <w:r>
        <w:rPr>
          <w:rFonts w:ascii="Times New Roman" w:hAnsi="Times New Roman"/>
          <w:sz w:val="24"/>
          <w:szCs w:val="24"/>
        </w:rPr>
        <w:t xml:space="preserve"> extent to which learners’ theoretical knowledge influences oral performance.</w:t>
      </w:r>
    </w:p>
    <w:p w14:paraId="0BDACDE3" w14:textId="77777777" w:rsidR="00A47DD3" w:rsidRDefault="00F04FB5">
      <w:pPr>
        <w:spacing w:after="120" w:line="240" w:lineRule="auto"/>
        <w:ind w:firstLineChars="200" w:firstLine="480"/>
        <w:jc w:val="both"/>
        <w:rPr>
          <w:rFonts w:ascii="Times New Roman" w:hAnsi="Times New Roman"/>
          <w:sz w:val="24"/>
          <w:szCs w:val="24"/>
        </w:rPr>
      </w:pPr>
      <w:r>
        <w:rPr>
          <w:rFonts w:ascii="Times New Roman" w:hAnsi="Times New Roman"/>
          <w:sz w:val="24"/>
          <w:szCs w:val="24"/>
        </w:rPr>
        <w:t>This study addresses that gap by combining error analysis with an investigation of students’ theoretical understanding of diphthongs. It specifically examines phonological errors</w:t>
      </w:r>
      <w:r>
        <w:rPr>
          <w:rFonts w:ascii="Times New Roman" w:hAnsi="Times New Roman"/>
          <w:sz w:val="24"/>
          <w:szCs w:val="24"/>
        </w:rPr>
        <w:t xml:space="preserve"> made by sixth-semester students at Universitas Indo Global Mandiri, focusing on four error types, namely </w:t>
      </w:r>
      <w:r>
        <w:rPr>
          <w:rFonts w:ascii="Times New Roman Italic" w:hAnsi="Times New Roman Italic" w:cs="Times New Roman Italic"/>
          <w:i/>
          <w:iCs/>
          <w:sz w:val="24"/>
          <w:szCs w:val="24"/>
        </w:rPr>
        <w:t>misformation, omission, addition, and misordering,</w:t>
      </w:r>
      <w:r>
        <w:rPr>
          <w:rFonts w:ascii="Times New Roman" w:hAnsi="Times New Roman"/>
          <w:sz w:val="24"/>
          <w:szCs w:val="24"/>
        </w:rPr>
        <w:t xml:space="preserve"> and explores whether their theoretical understanding of diphthongs, defined as knowledge of the bas</w:t>
      </w:r>
      <w:r>
        <w:rPr>
          <w:rFonts w:ascii="Times New Roman" w:hAnsi="Times New Roman"/>
          <w:sz w:val="24"/>
          <w:szCs w:val="24"/>
        </w:rPr>
        <w:t>ic concept of diphthongs and their correct articulation, contributes to pronunciation accuracy.</w:t>
      </w:r>
    </w:p>
    <w:p w14:paraId="64192D91" w14:textId="77777777" w:rsidR="00A47DD3" w:rsidRDefault="00F04FB5">
      <w:pPr>
        <w:spacing w:after="120" w:line="240" w:lineRule="auto"/>
        <w:ind w:firstLineChars="200" w:firstLine="480"/>
        <w:jc w:val="both"/>
        <w:rPr>
          <w:rFonts w:ascii="Times New Roman" w:hAnsi="Times New Roman"/>
          <w:sz w:val="24"/>
          <w:szCs w:val="24"/>
        </w:rPr>
      </w:pPr>
      <w:r>
        <w:rPr>
          <w:rFonts w:ascii="Times New Roman" w:hAnsi="Times New Roman"/>
          <w:sz w:val="24"/>
          <w:szCs w:val="24"/>
        </w:rPr>
        <w:t>Recent international studies provide valuable insights but still reveal limitations. Hayes-Harb and Barrios (2021) examined the role of orthographic input in ph</w:t>
      </w:r>
      <w:r>
        <w:rPr>
          <w:rFonts w:ascii="Times New Roman" w:hAnsi="Times New Roman"/>
          <w:sz w:val="24"/>
          <w:szCs w:val="24"/>
        </w:rPr>
        <w:t xml:space="preserve">onological acquisition, while Najeeb (2024) analyzed Kurdish EFL learners’ difficulties with diphthongs. Both studies identified pronunciation challenges yet overlooked the </w:t>
      </w:r>
      <w:r>
        <w:rPr>
          <w:rFonts w:ascii="Times New Roman" w:hAnsi="Times New Roman"/>
          <w:sz w:val="24"/>
          <w:szCs w:val="24"/>
        </w:rPr>
        <w:t>association</w:t>
      </w:r>
      <w:r>
        <w:rPr>
          <w:rFonts w:ascii="Times New Roman" w:hAnsi="Times New Roman"/>
          <w:sz w:val="24"/>
          <w:szCs w:val="24"/>
        </w:rPr>
        <w:t xml:space="preserve"> between learners’ explicit knowledge of diphthongs and their actual per</w:t>
      </w:r>
      <w:r>
        <w:rPr>
          <w:rFonts w:ascii="Times New Roman" w:hAnsi="Times New Roman"/>
          <w:sz w:val="24"/>
          <w:szCs w:val="24"/>
        </w:rPr>
        <w:t>formance. This gap highlights the importance of investigating whether theoretical awareness is associated with pronunciation accuracy among EFL learners.</w:t>
      </w:r>
    </w:p>
    <w:p w14:paraId="34F6050B" w14:textId="77777777" w:rsidR="00A47DD3" w:rsidRDefault="00F04FB5">
      <w:pPr>
        <w:spacing w:after="120" w:line="240" w:lineRule="auto"/>
        <w:ind w:firstLineChars="200" w:firstLine="480"/>
        <w:jc w:val="both"/>
        <w:rPr>
          <w:rFonts w:ascii="Times New Roman" w:hAnsi="Times New Roman"/>
          <w:sz w:val="24"/>
          <w:szCs w:val="24"/>
        </w:rPr>
      </w:pPr>
      <w:r>
        <w:rPr>
          <w:rFonts w:ascii="Times New Roman" w:hAnsi="Times New Roman"/>
          <w:sz w:val="24"/>
          <w:szCs w:val="24"/>
        </w:rPr>
        <w:t>Accordingly, this study focuses on three research questions:</w:t>
      </w:r>
    </w:p>
    <w:p w14:paraId="5D2C4A04" w14:textId="77777777" w:rsidR="00A47DD3" w:rsidRDefault="00F04FB5">
      <w:pPr>
        <w:numPr>
          <w:ilvl w:val="0"/>
          <w:numId w:val="1"/>
        </w:numPr>
        <w:spacing w:line="240" w:lineRule="auto"/>
        <w:jc w:val="both"/>
        <w:rPr>
          <w:rFonts w:ascii="Times New Roman" w:hAnsi="Times New Roman"/>
          <w:sz w:val="24"/>
          <w:szCs w:val="24"/>
        </w:rPr>
      </w:pPr>
      <w:r>
        <w:rPr>
          <w:rFonts w:ascii="Times New Roman" w:hAnsi="Times New Roman"/>
          <w:sz w:val="24"/>
          <w:szCs w:val="24"/>
        </w:rPr>
        <w:lastRenderedPageBreak/>
        <w:t>What phonological errors are made by sixt</w:t>
      </w:r>
      <w:r>
        <w:rPr>
          <w:rFonts w:ascii="Times New Roman" w:hAnsi="Times New Roman"/>
          <w:sz w:val="24"/>
          <w:szCs w:val="24"/>
        </w:rPr>
        <w:t>h-semester students in pronouncing English vowel diphthongs?</w:t>
      </w:r>
    </w:p>
    <w:p w14:paraId="07205F30" w14:textId="77777777" w:rsidR="00A47DD3" w:rsidRDefault="00F04FB5">
      <w:pPr>
        <w:numPr>
          <w:ilvl w:val="0"/>
          <w:numId w:val="1"/>
        </w:numPr>
        <w:spacing w:line="240" w:lineRule="auto"/>
        <w:jc w:val="both"/>
        <w:rPr>
          <w:rFonts w:ascii="Times New Roman" w:hAnsi="Times New Roman"/>
          <w:sz w:val="24"/>
          <w:szCs w:val="24"/>
        </w:rPr>
      </w:pPr>
      <w:r>
        <w:rPr>
          <w:rFonts w:ascii="Times New Roman" w:hAnsi="Times New Roman"/>
          <w:sz w:val="24"/>
          <w:szCs w:val="24"/>
        </w:rPr>
        <w:t>Which vowel diphthongs are most frequently mispronounced?</w:t>
      </w:r>
    </w:p>
    <w:p w14:paraId="7FF05ED8" w14:textId="77777777" w:rsidR="00A47DD3" w:rsidRDefault="00F04FB5">
      <w:pPr>
        <w:numPr>
          <w:ilvl w:val="0"/>
          <w:numId w:val="1"/>
        </w:numPr>
        <w:spacing w:line="240" w:lineRule="auto"/>
        <w:jc w:val="both"/>
        <w:rPr>
          <w:rFonts w:ascii="Times New Roman" w:hAnsi="Times New Roman"/>
          <w:sz w:val="24"/>
          <w:szCs w:val="24"/>
        </w:rPr>
      </w:pPr>
      <w:r>
        <w:rPr>
          <w:rFonts w:ascii="Times New Roman" w:hAnsi="Times New Roman"/>
          <w:sz w:val="24"/>
          <w:szCs w:val="24"/>
        </w:rPr>
        <w:t>How is students’ understanding of vowel diphthongs associated with their pronunciation accuracy?</w:t>
      </w:r>
    </w:p>
    <w:p w14:paraId="43737D54" w14:textId="77777777" w:rsidR="00A47DD3" w:rsidRDefault="00F04FB5">
      <w:pPr>
        <w:spacing w:line="240" w:lineRule="auto"/>
        <w:ind w:firstLineChars="200" w:firstLine="480"/>
        <w:jc w:val="both"/>
        <w:rPr>
          <w:rFonts w:ascii="Times New Roman" w:hAnsi="Times New Roman"/>
          <w:sz w:val="24"/>
          <w:szCs w:val="24"/>
        </w:rPr>
      </w:pPr>
      <w:r>
        <w:rPr>
          <w:rFonts w:ascii="Times New Roman" w:hAnsi="Times New Roman"/>
          <w:sz w:val="24"/>
          <w:szCs w:val="24"/>
        </w:rPr>
        <w:t>Based on the reviewed literature, the th</w:t>
      </w:r>
      <w:r>
        <w:rPr>
          <w:rFonts w:ascii="Times New Roman" w:hAnsi="Times New Roman"/>
          <w:sz w:val="24"/>
          <w:szCs w:val="24"/>
        </w:rPr>
        <w:t>esis statement of this research is that learners’ theoretical awareness of diphthongs does not necessarily ensure accurate pronunciation, and this gap must be addressed through teaching strategies that integrate theoretical explanation with consistent prac</w:t>
      </w:r>
      <w:r>
        <w:rPr>
          <w:rFonts w:ascii="Times New Roman" w:hAnsi="Times New Roman"/>
          <w:sz w:val="24"/>
          <w:szCs w:val="24"/>
        </w:rPr>
        <w:t>tice.</w:t>
      </w:r>
    </w:p>
    <w:p w14:paraId="409BD8E8" w14:textId="77777777" w:rsidR="00A47DD3" w:rsidRDefault="00A47DD3">
      <w:pPr>
        <w:spacing w:line="240" w:lineRule="auto"/>
        <w:ind w:firstLineChars="200" w:firstLine="480"/>
        <w:jc w:val="both"/>
        <w:rPr>
          <w:rFonts w:ascii="Times New Roman" w:hAnsi="Times New Roman"/>
          <w:sz w:val="24"/>
          <w:szCs w:val="24"/>
        </w:rPr>
      </w:pPr>
    </w:p>
    <w:p w14:paraId="35DD0A82" w14:textId="77777777" w:rsidR="00A47DD3" w:rsidRDefault="00F04FB5">
      <w:pPr>
        <w:spacing w:line="240" w:lineRule="auto"/>
        <w:rPr>
          <w:rFonts w:ascii="Times New Roman" w:hAnsi="Times New Roman" w:cs="Times New Roman"/>
          <w:b/>
          <w:sz w:val="24"/>
          <w:szCs w:val="24"/>
        </w:rPr>
      </w:pPr>
      <w:r>
        <w:rPr>
          <w:rFonts w:ascii="Times New Roman" w:hAnsi="Times New Roman" w:cs="Times New Roman"/>
          <w:b/>
          <w:sz w:val="24"/>
          <w:szCs w:val="24"/>
        </w:rPr>
        <w:t>RESEARCH METHODOLOGY</w:t>
      </w:r>
    </w:p>
    <w:p w14:paraId="7BE8E8FA" w14:textId="77777777" w:rsidR="00A47DD3" w:rsidRDefault="00F04FB5">
      <w:pPr>
        <w:spacing w:before="120" w:after="120" w:line="240" w:lineRule="auto"/>
        <w:ind w:firstLineChars="200" w:firstLine="480"/>
        <w:jc w:val="both"/>
        <w:rPr>
          <w:rFonts w:ascii="Times New Roman" w:hAnsi="Times New Roman"/>
          <w:sz w:val="24"/>
          <w:szCs w:val="24"/>
        </w:rPr>
      </w:pPr>
      <w:r>
        <w:rPr>
          <w:rFonts w:ascii="Times New Roman" w:hAnsi="Times New Roman"/>
          <w:sz w:val="24"/>
          <w:szCs w:val="24"/>
        </w:rPr>
        <w:t xml:space="preserve">A descriptive qualitative approach supported by quantitative data was employed to provide an in-depth description of students’ phonological error patterns and their understanding of vowel diphthongs. This design was </w:t>
      </w:r>
      <w:r>
        <w:rPr>
          <w:rFonts w:ascii="Times New Roman" w:hAnsi="Times New Roman"/>
          <w:sz w:val="24"/>
          <w:szCs w:val="24"/>
        </w:rPr>
        <w:t>appropriate for capturing natural pronunciation performance and identifying common error tendencies while also incorporating simple statistical descriptions to strengthen the interpretation of findings. The participants were 26 sixth-semester students (4 m</w:t>
      </w:r>
      <w:r>
        <w:rPr>
          <w:rFonts w:ascii="Times New Roman" w:hAnsi="Times New Roman"/>
          <w:sz w:val="24"/>
          <w:szCs w:val="24"/>
        </w:rPr>
        <w:t>ales and 22 females) of the English Education Department at Universitas Indo Global Mandiri, selected through purposive sampling since they had completed relevant pronunciation and linguistics courses.</w:t>
      </w:r>
    </w:p>
    <w:p w14:paraId="313EB12A" w14:textId="77777777" w:rsidR="00A47DD3" w:rsidRDefault="00F04FB5">
      <w:pPr>
        <w:spacing w:before="120" w:after="120" w:line="240" w:lineRule="auto"/>
        <w:ind w:firstLineChars="200" w:firstLine="480"/>
        <w:jc w:val="both"/>
        <w:rPr>
          <w:rFonts w:ascii="Times New Roman" w:hAnsi="Times New Roman"/>
          <w:sz w:val="24"/>
          <w:szCs w:val="24"/>
        </w:rPr>
      </w:pPr>
      <w:r>
        <w:rPr>
          <w:rFonts w:ascii="Times New Roman" w:hAnsi="Times New Roman"/>
          <w:sz w:val="24"/>
          <w:szCs w:val="24"/>
        </w:rPr>
        <w:t>Data were collected through two instruments: a pronunc</w:t>
      </w:r>
      <w:r>
        <w:rPr>
          <w:rFonts w:ascii="Times New Roman" w:hAnsi="Times New Roman"/>
          <w:sz w:val="24"/>
          <w:szCs w:val="24"/>
        </w:rPr>
        <w:t xml:space="preserve">iation test and a questionnaire. The pronunciation test consisted of 24 word items and 7 sentence items containing English vowel diphthongs. The word list was organized into three difficulty levels, </w:t>
      </w:r>
      <w:r>
        <w:rPr>
          <w:rFonts w:ascii="Times New Roman Italic" w:hAnsi="Times New Roman Italic" w:cs="Times New Roman Italic"/>
          <w:i/>
          <w:iCs/>
          <w:sz w:val="24"/>
          <w:szCs w:val="24"/>
        </w:rPr>
        <w:t>Easy (CEFR A1–A2)</w:t>
      </w:r>
      <w:r>
        <w:rPr>
          <w:rFonts w:ascii="Times New Roman" w:hAnsi="Times New Roman"/>
          <w:sz w:val="24"/>
          <w:szCs w:val="24"/>
        </w:rPr>
        <w:t xml:space="preserve">, </w:t>
      </w:r>
      <w:r>
        <w:rPr>
          <w:rFonts w:ascii="Times New Roman Italic" w:hAnsi="Times New Roman Italic" w:cs="Times New Roman Italic"/>
          <w:i/>
          <w:iCs/>
          <w:sz w:val="24"/>
          <w:szCs w:val="24"/>
        </w:rPr>
        <w:t>Medium (CEFR B1–B2)</w:t>
      </w:r>
      <w:r>
        <w:rPr>
          <w:rFonts w:ascii="Times New Roman" w:hAnsi="Times New Roman"/>
          <w:sz w:val="24"/>
          <w:szCs w:val="24"/>
        </w:rPr>
        <w:t xml:space="preserve">, and </w:t>
      </w:r>
      <w:r>
        <w:rPr>
          <w:rFonts w:ascii="Times New Roman Italic" w:hAnsi="Times New Roman Italic" w:cs="Times New Roman Italic"/>
          <w:i/>
          <w:iCs/>
          <w:sz w:val="24"/>
          <w:szCs w:val="24"/>
        </w:rPr>
        <w:t>Hard (CEFR C1</w:t>
      </w:r>
      <w:r>
        <w:rPr>
          <w:rFonts w:ascii="Times New Roman Italic" w:hAnsi="Times New Roman Italic" w:cs="Times New Roman Italic"/>
          <w:i/>
          <w:iCs/>
          <w:sz w:val="24"/>
          <w:szCs w:val="24"/>
        </w:rPr>
        <w:t>–C2)</w:t>
      </w:r>
      <w:r>
        <w:rPr>
          <w:rFonts w:ascii="Times New Roman" w:hAnsi="Times New Roman"/>
          <w:sz w:val="24"/>
          <w:szCs w:val="24"/>
        </w:rPr>
        <w:t>, to assess learners’ pronunciation across varying levels of lexical complexity. The sentence items were designed to evaluate pronunciation accuracy in connected speech, allowing observation of students’ articulation in a more natural context. All test</w:t>
      </w:r>
      <w:r>
        <w:rPr>
          <w:rFonts w:ascii="Times New Roman" w:hAnsi="Times New Roman"/>
          <w:sz w:val="24"/>
          <w:szCs w:val="24"/>
        </w:rPr>
        <w:t xml:space="preserve"> materials were adapted from the Oxford Learner’s Dictionary (2025) and standardized to British English Received Pronunciation (RP). Students’ recordings were transcribed phonetically using the International Phonetic Alphabet (IPA) with initial assistance </w:t>
      </w:r>
      <w:r>
        <w:rPr>
          <w:rFonts w:ascii="Times New Roman" w:hAnsi="Times New Roman"/>
          <w:sz w:val="24"/>
          <w:szCs w:val="24"/>
        </w:rPr>
        <w:t>from Turboscribe. The questionnaire, adapted from Firghy et al. (2024), contained 10 closed-ended Likert-scale items assessing students’ understanding of diphthongs. To ensure trustworthiness, methodological triangulation was used by combining oral tests a</w:t>
      </w:r>
      <w:r>
        <w:rPr>
          <w:rFonts w:ascii="Times New Roman" w:hAnsi="Times New Roman"/>
          <w:sz w:val="24"/>
          <w:szCs w:val="24"/>
        </w:rPr>
        <w:t>nd questionnaires, and a rater with phonetic expertise validated the results.</w:t>
      </w:r>
    </w:p>
    <w:p w14:paraId="4D1F52ED" w14:textId="77777777" w:rsidR="00A47DD3" w:rsidRDefault="00F04FB5">
      <w:pPr>
        <w:spacing w:before="120" w:after="120" w:line="240" w:lineRule="auto"/>
        <w:ind w:firstLineChars="200" w:firstLine="480"/>
        <w:jc w:val="both"/>
        <w:rPr>
          <w:rFonts w:ascii="Times New Roman" w:hAnsi="Times New Roman"/>
          <w:sz w:val="24"/>
          <w:szCs w:val="24"/>
        </w:rPr>
      </w:pPr>
      <w:r>
        <w:rPr>
          <w:rFonts w:ascii="Times New Roman" w:hAnsi="Times New Roman"/>
          <w:sz w:val="24"/>
          <w:szCs w:val="24"/>
        </w:rPr>
        <w:t>Data analysis followed the interactive model proposed by Miles, Huberman, and Saldaña (2014), which includes data reduction, data display, and conclusion drawing. Pronunciation e</w:t>
      </w:r>
      <w:r>
        <w:rPr>
          <w:rFonts w:ascii="Times New Roman" w:hAnsi="Times New Roman"/>
          <w:sz w:val="24"/>
          <w:szCs w:val="24"/>
        </w:rPr>
        <w:t>rrors were identified and categorized according to Dulay, Burt, and Krashen’s (1982) Surface Strategy Taxonomy, covering omission, addition, misformation, and misordering. Frequencies and percentages were calculated in Microsoft Excel, while a simple Chi-S</w:t>
      </w:r>
      <w:r>
        <w:rPr>
          <w:rFonts w:ascii="Times New Roman" w:hAnsi="Times New Roman"/>
          <w:sz w:val="24"/>
          <w:szCs w:val="24"/>
        </w:rPr>
        <w:t>quare test using SPSS version 27 was applied in a limited manner to provide empirical support for the qualitative interpretation. This combination of descriptive qualitative analysis and supplementary quantitative data ensured a comprehensive understanding</w:t>
      </w:r>
      <w:r>
        <w:rPr>
          <w:rFonts w:ascii="Times New Roman" w:hAnsi="Times New Roman"/>
          <w:sz w:val="24"/>
          <w:szCs w:val="24"/>
        </w:rPr>
        <w:t xml:space="preserve"> of the students’ phonological performance and the relationship between their theoretical knowledge and pronunciation accuracy.</w:t>
      </w:r>
    </w:p>
    <w:p w14:paraId="2ED21609" w14:textId="77777777" w:rsidR="00004BB0" w:rsidRDefault="00004BB0">
      <w:pPr>
        <w:spacing w:line="240" w:lineRule="auto"/>
        <w:rPr>
          <w:rFonts w:ascii="Times New Roman" w:hAnsi="Times New Roman" w:cs="Times New Roman"/>
          <w:b/>
          <w:sz w:val="24"/>
          <w:szCs w:val="24"/>
        </w:rPr>
      </w:pPr>
    </w:p>
    <w:p w14:paraId="45BD308E" w14:textId="7A5520A3" w:rsidR="00A47DD3" w:rsidRDefault="00F04FB5">
      <w:pPr>
        <w:spacing w:line="240" w:lineRule="auto"/>
        <w:rPr>
          <w:rFonts w:ascii="Times New Roman" w:hAnsi="Times New Roman" w:cs="Times New Roman"/>
          <w:b/>
          <w:sz w:val="24"/>
          <w:szCs w:val="24"/>
        </w:rPr>
      </w:pPr>
      <w:r>
        <w:rPr>
          <w:rFonts w:ascii="Times New Roman" w:hAnsi="Times New Roman" w:cs="Times New Roman"/>
          <w:b/>
          <w:sz w:val="24"/>
          <w:szCs w:val="24"/>
        </w:rPr>
        <w:lastRenderedPageBreak/>
        <w:t>RESULT AND DISCUSSION</w:t>
      </w:r>
    </w:p>
    <w:p w14:paraId="05FC84FE" w14:textId="77777777" w:rsidR="00A47DD3" w:rsidRDefault="00F04FB5">
      <w:pPr>
        <w:numPr>
          <w:ilvl w:val="0"/>
          <w:numId w:val="2"/>
        </w:numPr>
        <w:rPr>
          <w:rFonts w:ascii="TimesNewRomanPS-BoldMT" w:eastAsia="TimesNewRomanPS-BoldMT" w:hAnsi="TimesNewRomanPS-BoldMT" w:cs="TimesNewRomanPS-BoldMT"/>
          <w:b/>
          <w:bCs/>
          <w:color w:val="000000"/>
          <w:sz w:val="24"/>
          <w:szCs w:val="24"/>
          <w:lang w:eastAsia="zh-CN" w:bidi="ar"/>
        </w:rPr>
      </w:pPr>
      <w:r>
        <w:rPr>
          <w:rFonts w:ascii="Times New Roman Bold" w:hAnsi="Times New Roman Bold" w:cs="Times New Roman Bold"/>
          <w:b/>
          <w:bCs/>
          <w:sz w:val="24"/>
          <w:szCs w:val="24"/>
          <w:lang w:eastAsia="zh-CN"/>
        </w:rPr>
        <w:t>Result</w:t>
      </w:r>
    </w:p>
    <w:p w14:paraId="4386A9BD" w14:textId="77777777" w:rsidR="00A47DD3" w:rsidRDefault="00F04FB5">
      <w:pPr>
        <w:spacing w:line="240" w:lineRule="auto"/>
        <w:ind w:firstLineChars="200" w:firstLine="480"/>
        <w:jc w:val="both"/>
        <w:rPr>
          <w:rFonts w:ascii="Times New Roman" w:hAnsi="Times New Roman"/>
          <w:sz w:val="24"/>
          <w:szCs w:val="24"/>
        </w:rPr>
      </w:pPr>
      <w:r>
        <w:rPr>
          <w:rFonts w:ascii="Times New Roman" w:hAnsi="Times New Roman"/>
          <w:sz w:val="24"/>
          <w:szCs w:val="24"/>
        </w:rPr>
        <w:t xml:space="preserve">This section presents the results of the analysis of students’ phonological errors in </w:t>
      </w:r>
      <w:r>
        <w:rPr>
          <w:rFonts w:ascii="Times New Roman" w:hAnsi="Times New Roman"/>
          <w:sz w:val="24"/>
          <w:szCs w:val="24"/>
        </w:rPr>
        <w:t>pronouncing English vowel diphthongs. The data were obtained from a pronunciation test and a questionnaire administered to twenty-six sixth-semester students of Universitas Indo Global Mandiri. The findings are organized into three parts: the types of phon</w:t>
      </w:r>
      <w:r>
        <w:rPr>
          <w:rFonts w:ascii="Times New Roman" w:hAnsi="Times New Roman"/>
          <w:sz w:val="24"/>
          <w:szCs w:val="24"/>
        </w:rPr>
        <w:t>ological errors, the most frequently mispronounced diphthongs, and the association between students’ understanding of diphthongs and their pronunciation accuracy.</w:t>
      </w:r>
    </w:p>
    <w:p w14:paraId="202A8A9C" w14:textId="35B5A552" w:rsidR="00A47DD3" w:rsidRDefault="00F04FB5">
      <w:pPr>
        <w:spacing w:line="240" w:lineRule="auto"/>
        <w:ind w:firstLineChars="200" w:firstLine="480"/>
        <w:jc w:val="both"/>
        <w:rPr>
          <w:rFonts w:ascii="Times New Roman" w:hAnsi="Times New Roman"/>
          <w:sz w:val="24"/>
          <w:szCs w:val="24"/>
        </w:rPr>
      </w:pPr>
      <w:r>
        <w:rPr>
          <w:rFonts w:ascii="Times New Roman" w:hAnsi="Times New Roman"/>
          <w:sz w:val="24"/>
          <w:szCs w:val="24"/>
        </w:rPr>
        <w:t xml:space="preserve">The first analysis focused on identifying the types of phonological errors based on the </w:t>
      </w:r>
      <w:r w:rsidR="00B673F3" w:rsidRPr="00B673F3">
        <w:rPr>
          <w:rFonts w:ascii="Times New Roman" w:hAnsi="Times New Roman"/>
          <w:sz w:val="24"/>
          <w:szCs w:val="24"/>
        </w:rPr>
        <w:t>Surface Strategy Taxonomy. As shown in Figure 1 below, the students produced a total of 216 errors out of 936 pronunciation attempts, which represents 23.1% of the overall production.</w:t>
      </w:r>
    </w:p>
    <w:p w14:paraId="4134BEC4" w14:textId="74A30C84" w:rsidR="00B673F3" w:rsidRDefault="00B673F3" w:rsidP="00B673F3">
      <w:pPr>
        <w:spacing w:line="240" w:lineRule="auto"/>
        <w:jc w:val="center"/>
        <w:rPr>
          <w:rFonts w:ascii="Times New Roman" w:hAnsi="Times New Roman"/>
          <w:sz w:val="24"/>
          <w:szCs w:val="24"/>
        </w:rPr>
      </w:pPr>
      <w:r>
        <w:rPr>
          <w:noProof/>
        </w:rPr>
        <w:drawing>
          <wp:anchor distT="0" distB="0" distL="114300" distR="114300" simplePos="0" relativeHeight="251662336" behindDoc="1" locked="0" layoutInCell="1" allowOverlap="1" wp14:anchorId="5D14981C" wp14:editId="1DDB0573">
            <wp:simplePos x="0" y="0"/>
            <wp:positionH relativeFrom="margin">
              <wp:align>left</wp:align>
            </wp:positionH>
            <wp:positionV relativeFrom="page">
              <wp:posOffset>3734435</wp:posOffset>
            </wp:positionV>
            <wp:extent cx="5124450" cy="2218055"/>
            <wp:effectExtent l="0" t="0" r="0" b="10795"/>
            <wp:wrapTight wrapText="bothSides">
              <wp:wrapPolygon edited="0">
                <wp:start x="0" y="0"/>
                <wp:lineTo x="0" y="21520"/>
                <wp:lineTo x="21520" y="21520"/>
                <wp:lineTo x="21520" y="0"/>
                <wp:lineTo x="0" y="0"/>
              </wp:wrapPolygon>
            </wp:wrapTight>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margin">
              <wp14:pctWidth>0</wp14:pctWidth>
            </wp14:sizeRelH>
            <wp14:sizeRelV relativeFrom="margin">
              <wp14:pctHeight>0</wp14:pctHeight>
            </wp14:sizeRelV>
          </wp:anchor>
        </w:drawing>
      </w:r>
    </w:p>
    <w:p w14:paraId="20821214" w14:textId="38FC4D4D" w:rsidR="00B673F3" w:rsidRDefault="00B673F3">
      <w:pPr>
        <w:spacing w:line="240" w:lineRule="auto"/>
        <w:ind w:firstLineChars="200" w:firstLine="480"/>
        <w:jc w:val="both"/>
        <w:rPr>
          <w:rFonts w:ascii="Times New Roman" w:hAnsi="Times New Roman"/>
          <w:sz w:val="24"/>
          <w:szCs w:val="24"/>
        </w:rPr>
      </w:pPr>
    </w:p>
    <w:p w14:paraId="422E5A1D" w14:textId="0743EDE5" w:rsidR="00B673F3" w:rsidRDefault="00B673F3">
      <w:pPr>
        <w:spacing w:line="240" w:lineRule="auto"/>
        <w:ind w:firstLineChars="200" w:firstLine="480"/>
        <w:jc w:val="both"/>
        <w:rPr>
          <w:rFonts w:ascii="Times New Roman" w:hAnsi="Times New Roman"/>
          <w:sz w:val="24"/>
          <w:szCs w:val="24"/>
        </w:rPr>
      </w:pPr>
    </w:p>
    <w:p w14:paraId="540A181F" w14:textId="224C445D" w:rsidR="00B673F3" w:rsidRDefault="00B673F3">
      <w:pPr>
        <w:spacing w:line="240" w:lineRule="auto"/>
        <w:ind w:firstLineChars="200" w:firstLine="480"/>
        <w:jc w:val="both"/>
        <w:rPr>
          <w:rFonts w:ascii="Times New Roman" w:hAnsi="Times New Roman"/>
          <w:sz w:val="24"/>
          <w:szCs w:val="24"/>
        </w:rPr>
      </w:pPr>
    </w:p>
    <w:p w14:paraId="62E77B3A" w14:textId="656F38EF" w:rsidR="00B673F3" w:rsidRDefault="00B673F3" w:rsidP="00B673F3">
      <w:pPr>
        <w:spacing w:line="240" w:lineRule="auto"/>
        <w:ind w:firstLineChars="200" w:firstLine="440"/>
        <w:jc w:val="center"/>
        <w:rPr>
          <w:rFonts w:ascii="Times New Roman" w:hAnsi="Times New Roman"/>
          <w:sz w:val="24"/>
          <w:szCs w:val="24"/>
        </w:rPr>
      </w:pPr>
      <w:r>
        <w:rPr>
          <w:rFonts w:ascii="Times New Roman Italic" w:eastAsia="-webkit-standard" w:hAnsi="Times New Roman Italic" w:cs="Times New Roman Italic"/>
          <w:i/>
          <w:iCs/>
          <w:color w:val="000000"/>
          <w:lang w:eastAsia="zh-CN" w:bidi="ar"/>
        </w:rPr>
        <w:t>Figure 1.  Distribution of Diphthong Pronunciation Error Types</w:t>
      </w:r>
    </w:p>
    <w:p w14:paraId="2D6EBBCF" w14:textId="1F87317C" w:rsidR="00A47DD3" w:rsidRDefault="00F04FB5">
      <w:pPr>
        <w:spacing w:line="240" w:lineRule="auto"/>
        <w:ind w:firstLineChars="200" w:firstLine="480"/>
        <w:jc w:val="both"/>
        <w:rPr>
          <w:rFonts w:ascii="Times New Roman" w:hAnsi="Times New Roman"/>
          <w:sz w:val="24"/>
          <w:szCs w:val="24"/>
        </w:rPr>
      </w:pPr>
      <w:r>
        <w:rPr>
          <w:rFonts w:ascii="Times New Roman" w:hAnsi="Times New Roman"/>
          <w:sz w:val="24"/>
          <w:szCs w:val="24"/>
        </w:rPr>
        <w:t xml:space="preserve">Based </w:t>
      </w:r>
      <w:r>
        <w:rPr>
          <w:rFonts w:ascii="Times New Roman" w:hAnsi="Times New Roman"/>
          <w:sz w:val="24"/>
          <w:szCs w:val="24"/>
        </w:rPr>
        <w:t xml:space="preserve">on Figure 1 above, the results indicate that </w:t>
      </w:r>
      <w:r>
        <w:rPr>
          <w:rFonts w:ascii="Times New Roman Italic" w:hAnsi="Times New Roman Italic" w:cs="Times New Roman Italic"/>
          <w:i/>
          <w:iCs/>
          <w:sz w:val="24"/>
          <w:szCs w:val="24"/>
        </w:rPr>
        <w:t xml:space="preserve">misformation </w:t>
      </w:r>
      <w:r>
        <w:rPr>
          <w:rFonts w:ascii="Times New Roman" w:hAnsi="Times New Roman"/>
          <w:sz w:val="24"/>
          <w:szCs w:val="24"/>
        </w:rPr>
        <w:t xml:space="preserve">was the most dominant type of error with 56.9%, followed by </w:t>
      </w:r>
      <w:r>
        <w:rPr>
          <w:rFonts w:ascii="Times New Roman Italic" w:hAnsi="Times New Roman Italic" w:cs="Times New Roman Italic"/>
          <w:i/>
          <w:iCs/>
          <w:sz w:val="24"/>
          <w:szCs w:val="24"/>
        </w:rPr>
        <w:t>omission</w:t>
      </w:r>
      <w:r>
        <w:rPr>
          <w:rFonts w:ascii="Times New Roman" w:hAnsi="Times New Roman"/>
          <w:sz w:val="24"/>
          <w:szCs w:val="24"/>
        </w:rPr>
        <w:t xml:space="preserve"> with 40.7%, while </w:t>
      </w:r>
      <w:r>
        <w:rPr>
          <w:rFonts w:ascii="Times New Roman Italic" w:hAnsi="Times New Roman Italic" w:cs="Times New Roman Italic"/>
          <w:i/>
          <w:iCs/>
          <w:sz w:val="24"/>
          <w:szCs w:val="24"/>
        </w:rPr>
        <w:t>addition</w:t>
      </w:r>
      <w:r>
        <w:rPr>
          <w:rFonts w:ascii="Times New Roman" w:hAnsi="Times New Roman"/>
          <w:sz w:val="24"/>
          <w:szCs w:val="24"/>
        </w:rPr>
        <w:t xml:space="preserve"> occurred only 2.3%. No instance of </w:t>
      </w:r>
      <w:r>
        <w:rPr>
          <w:rFonts w:ascii="Times New Roman Italic" w:hAnsi="Times New Roman Italic" w:cs="Times New Roman Italic"/>
          <w:i/>
          <w:iCs/>
          <w:sz w:val="24"/>
          <w:szCs w:val="24"/>
        </w:rPr>
        <w:t>misordering</w:t>
      </w:r>
      <w:r>
        <w:rPr>
          <w:rFonts w:ascii="Times New Roman" w:hAnsi="Times New Roman"/>
          <w:sz w:val="24"/>
          <w:szCs w:val="24"/>
        </w:rPr>
        <w:t xml:space="preserve"> was found in the students’ pronunciation. These finding</w:t>
      </w:r>
      <w:r>
        <w:rPr>
          <w:rFonts w:ascii="Times New Roman" w:hAnsi="Times New Roman"/>
          <w:sz w:val="24"/>
          <w:szCs w:val="24"/>
        </w:rPr>
        <w:t>s suggest that students often replaced diphthongs with incorrect sounds rather than omitting or adding segments.</w:t>
      </w:r>
    </w:p>
    <w:p w14:paraId="0C27BEC2" w14:textId="77777777" w:rsidR="00A47DD3" w:rsidRDefault="00F04FB5">
      <w:pPr>
        <w:spacing w:line="240" w:lineRule="auto"/>
        <w:ind w:firstLine="720"/>
        <w:jc w:val="both"/>
        <w:rPr>
          <w:rFonts w:ascii="Times New Roman" w:hAnsi="Times New Roman"/>
          <w:sz w:val="24"/>
          <w:szCs w:val="24"/>
        </w:rPr>
      </w:pPr>
      <w:r>
        <w:rPr>
          <w:rFonts w:ascii="Times New Roman" w:hAnsi="Times New Roman"/>
          <w:sz w:val="24"/>
          <w:szCs w:val="24"/>
        </w:rPr>
        <w:t xml:space="preserve">The second analysis aimed to determine which vowel diphthongs were most frequently mispronounced. Table </w:t>
      </w:r>
      <w:r>
        <w:rPr>
          <w:rFonts w:ascii="Times New Roman" w:hAnsi="Times New Roman"/>
          <w:sz w:val="24"/>
          <w:szCs w:val="24"/>
        </w:rPr>
        <w:t>1</w:t>
      </w:r>
      <w:r>
        <w:rPr>
          <w:rFonts w:ascii="Times New Roman" w:hAnsi="Times New Roman"/>
          <w:sz w:val="24"/>
          <w:szCs w:val="24"/>
        </w:rPr>
        <w:t xml:space="preserve"> presents the frequency of errors for </w:t>
      </w:r>
      <w:r>
        <w:rPr>
          <w:rFonts w:ascii="Times New Roman" w:hAnsi="Times New Roman"/>
          <w:sz w:val="24"/>
          <w:szCs w:val="24"/>
        </w:rPr>
        <w:t>each diphthong</w:t>
      </w:r>
      <w:r>
        <w:rPr>
          <w:rFonts w:ascii="Times New Roman" w:hAnsi="Times New Roman"/>
          <w:sz w:val="24"/>
          <w:szCs w:val="24"/>
        </w:rPr>
        <w:t>.</w:t>
      </w:r>
    </w:p>
    <w:p w14:paraId="6BCDC1AF" w14:textId="77777777" w:rsidR="00A47DD3" w:rsidRDefault="00F04FB5">
      <w:pPr>
        <w:spacing w:line="240" w:lineRule="auto"/>
        <w:ind w:firstLine="1540"/>
        <w:jc w:val="both"/>
        <w:rPr>
          <w:rFonts w:ascii="Times New Roman" w:hAnsi="Times New Roman"/>
          <w:sz w:val="24"/>
          <w:szCs w:val="24"/>
        </w:rPr>
      </w:pPr>
      <w:r>
        <w:rPr>
          <w:rFonts w:ascii="Times New Roman" w:hAnsi="Times New Roman" w:cs="Times New Roman"/>
        </w:rPr>
        <w:t xml:space="preserve">Table </w:t>
      </w:r>
      <w:r>
        <w:rPr>
          <w:rFonts w:ascii="Times New Roman" w:hAnsi="Times New Roman" w:cs="Times New Roman"/>
        </w:rPr>
        <w:t>1.</w:t>
      </w:r>
      <w:r>
        <w:rPr>
          <w:rFonts w:ascii="Times New Roman" w:hAnsi="Times New Roman" w:cs="Times New Roman"/>
        </w:rPr>
        <w:t xml:space="preserve">  Total Frequency of Errors Based on Each Vowel Diphthong</w:t>
      </w:r>
    </w:p>
    <w:tbl>
      <w:tblPr>
        <w:tblStyle w:val="TableGrid"/>
        <w:tblW w:w="0" w:type="auto"/>
        <w:tblInd w:w="1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8"/>
        <w:gridCol w:w="2275"/>
        <w:gridCol w:w="2943"/>
      </w:tblGrid>
      <w:tr w:rsidR="00A47DD3" w14:paraId="2B1A253E" w14:textId="77777777">
        <w:trPr>
          <w:trHeight w:val="90"/>
        </w:trPr>
        <w:tc>
          <w:tcPr>
            <w:tcW w:w="808" w:type="dxa"/>
            <w:tcBorders>
              <w:right w:val="nil"/>
            </w:tcBorders>
          </w:tcPr>
          <w:p w14:paraId="4F8C5308" w14:textId="77777777" w:rsidR="00A47DD3" w:rsidRDefault="00F04FB5">
            <w:pPr>
              <w:spacing w:after="0" w:line="260" w:lineRule="auto"/>
              <w:jc w:val="center"/>
              <w:rPr>
                <w:rFonts w:ascii="Times New Roman Regular" w:hAnsi="Times New Roman Regular" w:cs="Times New Roman Regular"/>
                <w:sz w:val="20"/>
                <w:szCs w:val="20"/>
              </w:rPr>
            </w:pPr>
            <w:r>
              <w:rPr>
                <w:rFonts w:ascii="Times New Roman Regular" w:hAnsi="Times New Roman Regular" w:cs="Times New Roman Regular"/>
                <w:sz w:val="20"/>
                <w:szCs w:val="20"/>
              </w:rPr>
              <w:t>No</w:t>
            </w:r>
          </w:p>
        </w:tc>
        <w:tc>
          <w:tcPr>
            <w:tcW w:w="2275" w:type="dxa"/>
            <w:tcBorders>
              <w:left w:val="nil"/>
              <w:right w:val="nil"/>
            </w:tcBorders>
          </w:tcPr>
          <w:p w14:paraId="555A2881" w14:textId="77777777" w:rsidR="00A47DD3" w:rsidRDefault="00F04FB5">
            <w:pPr>
              <w:spacing w:after="0" w:line="260" w:lineRule="auto"/>
              <w:jc w:val="center"/>
              <w:rPr>
                <w:rFonts w:ascii="Times New Roman Regular" w:hAnsi="Times New Roman Regular" w:cs="Times New Roman Regular"/>
                <w:sz w:val="20"/>
                <w:szCs w:val="20"/>
              </w:rPr>
            </w:pPr>
            <w:r>
              <w:rPr>
                <w:rFonts w:ascii="Times New Roman Regular" w:hAnsi="Times New Roman Regular" w:cs="Times New Roman Regular"/>
                <w:sz w:val="20"/>
                <w:szCs w:val="20"/>
              </w:rPr>
              <w:t>Diphthong</w:t>
            </w:r>
          </w:p>
        </w:tc>
        <w:tc>
          <w:tcPr>
            <w:tcW w:w="2943" w:type="dxa"/>
            <w:tcBorders>
              <w:left w:val="nil"/>
            </w:tcBorders>
          </w:tcPr>
          <w:p w14:paraId="7ED0CB74" w14:textId="77777777" w:rsidR="00A47DD3" w:rsidRDefault="00F04FB5">
            <w:pPr>
              <w:spacing w:after="0" w:line="260" w:lineRule="auto"/>
              <w:jc w:val="center"/>
              <w:rPr>
                <w:rFonts w:ascii="Times New Roman Regular" w:hAnsi="Times New Roman Regular" w:cs="Times New Roman Regular"/>
                <w:sz w:val="20"/>
                <w:szCs w:val="20"/>
              </w:rPr>
            </w:pPr>
            <w:r>
              <w:rPr>
                <w:rFonts w:ascii="Times New Roman Regular" w:hAnsi="Times New Roman Regular" w:cs="Times New Roman Regular"/>
                <w:sz w:val="20"/>
                <w:szCs w:val="20"/>
              </w:rPr>
              <w:t>Total Errors</w:t>
            </w:r>
          </w:p>
        </w:tc>
      </w:tr>
      <w:tr w:rsidR="00A47DD3" w14:paraId="470BFF02" w14:textId="77777777">
        <w:tc>
          <w:tcPr>
            <w:tcW w:w="808" w:type="dxa"/>
            <w:tcBorders>
              <w:right w:val="nil"/>
            </w:tcBorders>
          </w:tcPr>
          <w:p w14:paraId="251377FE" w14:textId="77777777" w:rsidR="00A47DD3" w:rsidRDefault="00F04FB5">
            <w:pPr>
              <w:spacing w:after="0" w:line="260" w:lineRule="auto"/>
              <w:jc w:val="center"/>
              <w:rPr>
                <w:rFonts w:ascii="Times New Roman Regular" w:hAnsi="Times New Roman Regular" w:cs="Times New Roman Regular"/>
                <w:sz w:val="20"/>
                <w:szCs w:val="20"/>
              </w:rPr>
            </w:pPr>
            <w:r>
              <w:rPr>
                <w:rFonts w:ascii="Times New Roman Regular" w:hAnsi="Times New Roman Regular" w:cs="Times New Roman Regular"/>
                <w:sz w:val="20"/>
                <w:szCs w:val="20"/>
              </w:rPr>
              <w:t>1</w:t>
            </w:r>
          </w:p>
        </w:tc>
        <w:tc>
          <w:tcPr>
            <w:tcW w:w="2275" w:type="dxa"/>
            <w:tcBorders>
              <w:left w:val="nil"/>
              <w:right w:val="nil"/>
            </w:tcBorders>
          </w:tcPr>
          <w:p w14:paraId="76EF1526" w14:textId="77777777" w:rsidR="00A47DD3" w:rsidRDefault="00F04FB5">
            <w:pPr>
              <w:spacing w:after="0" w:line="260" w:lineRule="auto"/>
              <w:jc w:val="center"/>
              <w:rPr>
                <w:rFonts w:ascii="Times New Roman Regular" w:hAnsi="Times New Roman Regular" w:cs="Times New Roman Regular"/>
                <w:sz w:val="20"/>
                <w:szCs w:val="20"/>
              </w:rPr>
            </w:pPr>
            <w:r>
              <w:rPr>
                <w:rFonts w:ascii="Times New Roman Regular" w:hAnsi="Times New Roman Regular" w:cs="Times New Roman Regular"/>
                <w:sz w:val="20"/>
                <w:szCs w:val="20"/>
              </w:rPr>
              <w:t>/</w:t>
            </w:r>
            <w:r>
              <w:rPr>
                <w:rFonts w:ascii="Times New Roman Regular" w:hAnsi="Times New Roman Regular" w:cs="Times New Roman Regular"/>
                <w:sz w:val="20"/>
                <w:szCs w:val="20"/>
              </w:rPr>
              <w:t>ɪə</w:t>
            </w:r>
            <w:r>
              <w:rPr>
                <w:rFonts w:ascii="Times New Roman Regular" w:hAnsi="Times New Roman Regular" w:cs="Times New Roman Regular"/>
                <w:sz w:val="20"/>
                <w:szCs w:val="20"/>
              </w:rPr>
              <w:t>/</w:t>
            </w:r>
          </w:p>
        </w:tc>
        <w:tc>
          <w:tcPr>
            <w:tcW w:w="2943" w:type="dxa"/>
            <w:tcBorders>
              <w:left w:val="nil"/>
            </w:tcBorders>
          </w:tcPr>
          <w:p w14:paraId="4D0B56C1" w14:textId="77777777" w:rsidR="00A47DD3" w:rsidRDefault="00F04FB5">
            <w:pPr>
              <w:spacing w:after="0" w:line="260" w:lineRule="auto"/>
              <w:jc w:val="center"/>
              <w:rPr>
                <w:rFonts w:ascii="Times New Roman Regular" w:hAnsi="Times New Roman Regular" w:cs="Times New Roman Regular"/>
                <w:sz w:val="20"/>
                <w:szCs w:val="20"/>
              </w:rPr>
            </w:pPr>
            <w:r>
              <w:rPr>
                <w:rFonts w:ascii="Times New Roman Regular" w:hAnsi="Times New Roman Regular" w:cs="Times New Roman Regular"/>
                <w:sz w:val="20"/>
                <w:szCs w:val="20"/>
              </w:rPr>
              <w:t>46</w:t>
            </w:r>
          </w:p>
        </w:tc>
      </w:tr>
      <w:tr w:rsidR="00A47DD3" w14:paraId="19C32E8D" w14:textId="77777777">
        <w:tc>
          <w:tcPr>
            <w:tcW w:w="808" w:type="dxa"/>
            <w:tcBorders>
              <w:right w:val="nil"/>
            </w:tcBorders>
          </w:tcPr>
          <w:p w14:paraId="3242C1D9" w14:textId="77777777" w:rsidR="00A47DD3" w:rsidRDefault="00F04FB5">
            <w:pPr>
              <w:spacing w:after="0" w:line="260" w:lineRule="auto"/>
              <w:jc w:val="center"/>
              <w:rPr>
                <w:rFonts w:ascii="Times New Roman Regular" w:hAnsi="Times New Roman Regular" w:cs="Times New Roman Regular"/>
                <w:sz w:val="20"/>
                <w:szCs w:val="20"/>
              </w:rPr>
            </w:pPr>
            <w:r>
              <w:rPr>
                <w:rFonts w:ascii="Times New Roman Regular" w:hAnsi="Times New Roman Regular" w:cs="Times New Roman Regular"/>
                <w:sz w:val="20"/>
                <w:szCs w:val="20"/>
              </w:rPr>
              <w:t>2</w:t>
            </w:r>
          </w:p>
        </w:tc>
        <w:tc>
          <w:tcPr>
            <w:tcW w:w="2275" w:type="dxa"/>
            <w:tcBorders>
              <w:left w:val="nil"/>
              <w:right w:val="nil"/>
            </w:tcBorders>
          </w:tcPr>
          <w:p w14:paraId="46137EAB" w14:textId="77777777" w:rsidR="00A47DD3" w:rsidRDefault="00F04FB5">
            <w:pPr>
              <w:spacing w:after="0" w:line="260" w:lineRule="auto"/>
              <w:jc w:val="center"/>
              <w:rPr>
                <w:rFonts w:ascii="Times New Roman Regular" w:hAnsi="Times New Roman Regular" w:cs="Times New Roman Regular"/>
                <w:sz w:val="20"/>
                <w:szCs w:val="20"/>
              </w:rPr>
            </w:pPr>
            <w:r>
              <w:rPr>
                <w:rFonts w:ascii="Times New Roman Regular" w:hAnsi="Times New Roman Regular" w:cs="Times New Roman Regular"/>
                <w:sz w:val="20"/>
                <w:szCs w:val="20"/>
              </w:rPr>
              <w:t>/e</w:t>
            </w:r>
            <w:r>
              <w:rPr>
                <w:rFonts w:ascii="Times New Roman Regular" w:hAnsi="Times New Roman Regular" w:cs="Times New Roman Regular"/>
                <w:sz w:val="20"/>
                <w:szCs w:val="20"/>
              </w:rPr>
              <w:t>ə</w:t>
            </w:r>
            <w:r>
              <w:rPr>
                <w:rFonts w:ascii="Times New Roman Regular" w:hAnsi="Times New Roman Regular" w:cs="Times New Roman Regular"/>
                <w:sz w:val="20"/>
                <w:szCs w:val="20"/>
              </w:rPr>
              <w:t>/</w:t>
            </w:r>
          </w:p>
        </w:tc>
        <w:tc>
          <w:tcPr>
            <w:tcW w:w="2943" w:type="dxa"/>
            <w:tcBorders>
              <w:left w:val="nil"/>
            </w:tcBorders>
          </w:tcPr>
          <w:p w14:paraId="74EF41FB" w14:textId="77777777" w:rsidR="00A47DD3" w:rsidRDefault="00F04FB5">
            <w:pPr>
              <w:spacing w:after="0" w:line="260" w:lineRule="auto"/>
              <w:jc w:val="center"/>
              <w:rPr>
                <w:rFonts w:ascii="Times New Roman Regular" w:hAnsi="Times New Roman Regular" w:cs="Times New Roman Regular"/>
                <w:sz w:val="20"/>
                <w:szCs w:val="20"/>
              </w:rPr>
            </w:pPr>
            <w:r>
              <w:rPr>
                <w:rFonts w:ascii="Times New Roman Regular" w:hAnsi="Times New Roman Regular" w:cs="Times New Roman Regular"/>
                <w:sz w:val="20"/>
                <w:szCs w:val="20"/>
              </w:rPr>
              <w:t>21</w:t>
            </w:r>
          </w:p>
        </w:tc>
      </w:tr>
      <w:tr w:rsidR="00A47DD3" w14:paraId="671C326C" w14:textId="77777777">
        <w:tc>
          <w:tcPr>
            <w:tcW w:w="808" w:type="dxa"/>
            <w:tcBorders>
              <w:right w:val="nil"/>
            </w:tcBorders>
          </w:tcPr>
          <w:p w14:paraId="6FDD8E24" w14:textId="77777777" w:rsidR="00A47DD3" w:rsidRDefault="00F04FB5">
            <w:pPr>
              <w:spacing w:after="0" w:line="260" w:lineRule="auto"/>
              <w:jc w:val="center"/>
              <w:rPr>
                <w:rFonts w:ascii="Times New Roman Regular" w:hAnsi="Times New Roman Regular" w:cs="Times New Roman Regular"/>
                <w:sz w:val="20"/>
                <w:szCs w:val="20"/>
              </w:rPr>
            </w:pPr>
            <w:r>
              <w:rPr>
                <w:rFonts w:ascii="Times New Roman Regular" w:hAnsi="Times New Roman Regular" w:cs="Times New Roman Regular"/>
                <w:sz w:val="20"/>
                <w:szCs w:val="20"/>
              </w:rPr>
              <w:t>3</w:t>
            </w:r>
          </w:p>
        </w:tc>
        <w:tc>
          <w:tcPr>
            <w:tcW w:w="2275" w:type="dxa"/>
            <w:tcBorders>
              <w:left w:val="nil"/>
              <w:right w:val="nil"/>
            </w:tcBorders>
          </w:tcPr>
          <w:p w14:paraId="21A300C1" w14:textId="77777777" w:rsidR="00A47DD3" w:rsidRDefault="00F04FB5">
            <w:pPr>
              <w:spacing w:after="0" w:line="260" w:lineRule="auto"/>
              <w:jc w:val="center"/>
              <w:rPr>
                <w:rFonts w:ascii="Times New Roman Regular" w:hAnsi="Times New Roman Regular" w:cs="Times New Roman Regular"/>
                <w:sz w:val="20"/>
                <w:szCs w:val="20"/>
              </w:rPr>
            </w:pPr>
            <w:r>
              <w:rPr>
                <w:rFonts w:ascii="Times New Roman Regular" w:hAnsi="Times New Roman Regular" w:cs="Times New Roman Regular"/>
                <w:sz w:val="20"/>
                <w:szCs w:val="20"/>
              </w:rPr>
              <w:t>/</w:t>
            </w:r>
            <w:r>
              <w:rPr>
                <w:rFonts w:ascii="Times New Roman Regular" w:hAnsi="Times New Roman Regular" w:cs="Times New Roman Regular"/>
                <w:sz w:val="20"/>
                <w:szCs w:val="20"/>
              </w:rPr>
              <w:t>ʊə</w:t>
            </w:r>
            <w:r>
              <w:rPr>
                <w:rFonts w:ascii="Times New Roman Regular" w:hAnsi="Times New Roman Regular" w:cs="Times New Roman Regular"/>
                <w:sz w:val="20"/>
                <w:szCs w:val="20"/>
              </w:rPr>
              <w:t>/</w:t>
            </w:r>
          </w:p>
        </w:tc>
        <w:tc>
          <w:tcPr>
            <w:tcW w:w="2943" w:type="dxa"/>
            <w:tcBorders>
              <w:left w:val="nil"/>
            </w:tcBorders>
          </w:tcPr>
          <w:p w14:paraId="0560A164" w14:textId="77777777" w:rsidR="00A47DD3" w:rsidRDefault="00F04FB5">
            <w:pPr>
              <w:spacing w:after="0" w:line="260" w:lineRule="auto"/>
              <w:jc w:val="center"/>
              <w:rPr>
                <w:rFonts w:ascii="Times New Roman Regular" w:hAnsi="Times New Roman Regular" w:cs="Times New Roman Regular"/>
                <w:sz w:val="20"/>
                <w:szCs w:val="20"/>
              </w:rPr>
            </w:pPr>
            <w:r>
              <w:rPr>
                <w:rFonts w:ascii="Times New Roman Regular" w:hAnsi="Times New Roman Regular" w:cs="Times New Roman Regular"/>
                <w:sz w:val="20"/>
                <w:szCs w:val="20"/>
              </w:rPr>
              <w:t>10</w:t>
            </w:r>
          </w:p>
        </w:tc>
      </w:tr>
      <w:tr w:rsidR="00A47DD3" w14:paraId="663ADD8D" w14:textId="77777777">
        <w:tc>
          <w:tcPr>
            <w:tcW w:w="808" w:type="dxa"/>
            <w:tcBorders>
              <w:right w:val="nil"/>
            </w:tcBorders>
          </w:tcPr>
          <w:p w14:paraId="3FC742CF" w14:textId="77777777" w:rsidR="00A47DD3" w:rsidRDefault="00F04FB5">
            <w:pPr>
              <w:spacing w:after="0" w:line="260" w:lineRule="auto"/>
              <w:jc w:val="center"/>
              <w:rPr>
                <w:rFonts w:ascii="Times New Roman Regular" w:hAnsi="Times New Roman Regular" w:cs="Times New Roman Regular"/>
                <w:sz w:val="20"/>
                <w:szCs w:val="20"/>
              </w:rPr>
            </w:pPr>
            <w:r>
              <w:rPr>
                <w:rFonts w:ascii="Times New Roman Regular" w:hAnsi="Times New Roman Regular" w:cs="Times New Roman Regular"/>
                <w:sz w:val="20"/>
                <w:szCs w:val="20"/>
              </w:rPr>
              <w:t>4</w:t>
            </w:r>
          </w:p>
        </w:tc>
        <w:tc>
          <w:tcPr>
            <w:tcW w:w="2275" w:type="dxa"/>
            <w:tcBorders>
              <w:left w:val="nil"/>
              <w:right w:val="nil"/>
            </w:tcBorders>
          </w:tcPr>
          <w:p w14:paraId="5A5AD66A" w14:textId="77777777" w:rsidR="00A47DD3" w:rsidRDefault="00F04FB5">
            <w:pPr>
              <w:spacing w:after="0" w:line="260" w:lineRule="auto"/>
              <w:jc w:val="center"/>
              <w:rPr>
                <w:rFonts w:ascii="Times New Roman Regular" w:hAnsi="Times New Roman Regular" w:cs="Times New Roman Regular"/>
                <w:sz w:val="20"/>
                <w:szCs w:val="20"/>
              </w:rPr>
            </w:pPr>
            <w:r>
              <w:rPr>
                <w:rFonts w:ascii="Times New Roman Regular" w:hAnsi="Times New Roman Regular" w:cs="Times New Roman Regular"/>
                <w:sz w:val="20"/>
                <w:szCs w:val="20"/>
              </w:rPr>
              <w:t>/e</w:t>
            </w:r>
            <w:r>
              <w:rPr>
                <w:rFonts w:ascii="Times New Roman Regular" w:hAnsi="Times New Roman Regular" w:cs="Times New Roman Regular"/>
                <w:sz w:val="20"/>
                <w:szCs w:val="20"/>
              </w:rPr>
              <w:t>ɪ</w:t>
            </w:r>
            <w:r>
              <w:rPr>
                <w:rFonts w:ascii="Times New Roman Regular" w:hAnsi="Times New Roman Regular" w:cs="Times New Roman Regular"/>
                <w:sz w:val="20"/>
                <w:szCs w:val="20"/>
              </w:rPr>
              <w:t>/</w:t>
            </w:r>
          </w:p>
        </w:tc>
        <w:tc>
          <w:tcPr>
            <w:tcW w:w="2943" w:type="dxa"/>
            <w:tcBorders>
              <w:left w:val="nil"/>
            </w:tcBorders>
          </w:tcPr>
          <w:p w14:paraId="69E08AD4" w14:textId="77777777" w:rsidR="00A47DD3" w:rsidRDefault="00F04FB5">
            <w:pPr>
              <w:spacing w:after="0" w:line="260" w:lineRule="auto"/>
              <w:jc w:val="center"/>
              <w:rPr>
                <w:rFonts w:ascii="Times New Roman Regular" w:hAnsi="Times New Roman Regular" w:cs="Times New Roman Regular"/>
                <w:sz w:val="20"/>
                <w:szCs w:val="20"/>
              </w:rPr>
            </w:pPr>
            <w:r>
              <w:rPr>
                <w:rFonts w:ascii="Times New Roman Regular" w:hAnsi="Times New Roman Regular" w:cs="Times New Roman Regular"/>
                <w:sz w:val="20"/>
                <w:szCs w:val="20"/>
              </w:rPr>
              <w:t>49</w:t>
            </w:r>
          </w:p>
        </w:tc>
      </w:tr>
      <w:tr w:rsidR="00A47DD3" w14:paraId="356614D1" w14:textId="77777777">
        <w:tc>
          <w:tcPr>
            <w:tcW w:w="808" w:type="dxa"/>
            <w:tcBorders>
              <w:right w:val="nil"/>
            </w:tcBorders>
          </w:tcPr>
          <w:p w14:paraId="7B5251B2" w14:textId="77777777" w:rsidR="00A47DD3" w:rsidRDefault="00F04FB5">
            <w:pPr>
              <w:spacing w:after="0" w:line="260" w:lineRule="auto"/>
              <w:jc w:val="center"/>
              <w:rPr>
                <w:rFonts w:ascii="Times New Roman Regular" w:hAnsi="Times New Roman Regular" w:cs="Times New Roman Regular"/>
                <w:sz w:val="20"/>
                <w:szCs w:val="20"/>
              </w:rPr>
            </w:pPr>
            <w:r>
              <w:rPr>
                <w:rFonts w:ascii="Times New Roman Regular" w:hAnsi="Times New Roman Regular" w:cs="Times New Roman Regular"/>
                <w:sz w:val="20"/>
                <w:szCs w:val="20"/>
              </w:rPr>
              <w:t>5</w:t>
            </w:r>
          </w:p>
        </w:tc>
        <w:tc>
          <w:tcPr>
            <w:tcW w:w="2275" w:type="dxa"/>
            <w:tcBorders>
              <w:left w:val="nil"/>
              <w:right w:val="nil"/>
            </w:tcBorders>
          </w:tcPr>
          <w:p w14:paraId="201513F3" w14:textId="77777777" w:rsidR="00A47DD3" w:rsidRDefault="00F04FB5">
            <w:pPr>
              <w:spacing w:after="0" w:line="260" w:lineRule="auto"/>
              <w:jc w:val="center"/>
              <w:rPr>
                <w:rFonts w:ascii="Times New Roman Regular" w:hAnsi="Times New Roman Regular" w:cs="Times New Roman Regular"/>
                <w:sz w:val="20"/>
                <w:szCs w:val="20"/>
              </w:rPr>
            </w:pPr>
            <w:r>
              <w:rPr>
                <w:rFonts w:ascii="Times New Roman Regular" w:hAnsi="Times New Roman Regular" w:cs="Times New Roman Regular"/>
                <w:sz w:val="20"/>
                <w:szCs w:val="20"/>
              </w:rPr>
              <w:t>/a</w:t>
            </w:r>
            <w:r>
              <w:rPr>
                <w:rFonts w:ascii="Times New Roman Regular" w:hAnsi="Times New Roman Regular" w:cs="Times New Roman Regular"/>
                <w:sz w:val="20"/>
                <w:szCs w:val="20"/>
              </w:rPr>
              <w:t>ɪ</w:t>
            </w:r>
            <w:r>
              <w:rPr>
                <w:rFonts w:ascii="Times New Roman Regular" w:hAnsi="Times New Roman Regular" w:cs="Times New Roman Regular"/>
                <w:sz w:val="20"/>
                <w:szCs w:val="20"/>
              </w:rPr>
              <w:t>/</w:t>
            </w:r>
          </w:p>
        </w:tc>
        <w:tc>
          <w:tcPr>
            <w:tcW w:w="2943" w:type="dxa"/>
            <w:tcBorders>
              <w:left w:val="nil"/>
            </w:tcBorders>
          </w:tcPr>
          <w:p w14:paraId="63AB1589" w14:textId="77777777" w:rsidR="00A47DD3" w:rsidRDefault="00F04FB5">
            <w:pPr>
              <w:spacing w:after="0" w:line="260" w:lineRule="auto"/>
              <w:jc w:val="center"/>
              <w:rPr>
                <w:rFonts w:ascii="Times New Roman Regular" w:hAnsi="Times New Roman Regular" w:cs="Times New Roman Regular"/>
                <w:sz w:val="20"/>
                <w:szCs w:val="20"/>
              </w:rPr>
            </w:pPr>
            <w:r>
              <w:rPr>
                <w:rFonts w:ascii="Times New Roman Regular" w:hAnsi="Times New Roman Regular" w:cs="Times New Roman Regular"/>
                <w:sz w:val="20"/>
                <w:szCs w:val="20"/>
              </w:rPr>
              <w:t>11</w:t>
            </w:r>
          </w:p>
        </w:tc>
      </w:tr>
      <w:tr w:rsidR="00A47DD3" w14:paraId="4FD5A2B9" w14:textId="77777777">
        <w:tc>
          <w:tcPr>
            <w:tcW w:w="808" w:type="dxa"/>
            <w:tcBorders>
              <w:right w:val="nil"/>
            </w:tcBorders>
          </w:tcPr>
          <w:p w14:paraId="28396CEB" w14:textId="77777777" w:rsidR="00A47DD3" w:rsidRDefault="00F04FB5">
            <w:pPr>
              <w:spacing w:after="0" w:line="260" w:lineRule="auto"/>
              <w:jc w:val="center"/>
              <w:rPr>
                <w:rFonts w:ascii="Times New Roman Regular" w:hAnsi="Times New Roman Regular" w:cs="Times New Roman Regular"/>
                <w:sz w:val="20"/>
                <w:szCs w:val="20"/>
              </w:rPr>
            </w:pPr>
            <w:r>
              <w:rPr>
                <w:rFonts w:ascii="Times New Roman Regular" w:hAnsi="Times New Roman Regular" w:cs="Times New Roman Regular"/>
                <w:sz w:val="20"/>
                <w:szCs w:val="20"/>
              </w:rPr>
              <w:t>6</w:t>
            </w:r>
          </w:p>
        </w:tc>
        <w:tc>
          <w:tcPr>
            <w:tcW w:w="2275" w:type="dxa"/>
            <w:tcBorders>
              <w:left w:val="nil"/>
              <w:right w:val="nil"/>
            </w:tcBorders>
          </w:tcPr>
          <w:p w14:paraId="3E1448CA" w14:textId="77777777" w:rsidR="00A47DD3" w:rsidRDefault="00F04FB5">
            <w:pPr>
              <w:spacing w:after="0" w:line="260" w:lineRule="auto"/>
              <w:jc w:val="center"/>
              <w:rPr>
                <w:rFonts w:ascii="Times New Roman Regular" w:hAnsi="Times New Roman Regular" w:cs="Times New Roman Regular"/>
                <w:sz w:val="20"/>
                <w:szCs w:val="20"/>
              </w:rPr>
            </w:pPr>
            <w:r>
              <w:rPr>
                <w:rFonts w:ascii="Times New Roman Regular" w:hAnsi="Times New Roman Regular" w:cs="Times New Roman Regular"/>
                <w:sz w:val="20"/>
                <w:szCs w:val="20"/>
              </w:rPr>
              <w:t>/</w:t>
            </w:r>
            <w:r>
              <w:rPr>
                <w:rFonts w:ascii="Times New Roman Regular" w:hAnsi="Times New Roman Regular" w:cs="Times New Roman Regular"/>
                <w:sz w:val="20"/>
                <w:szCs w:val="20"/>
              </w:rPr>
              <w:t>ɔɪ</w:t>
            </w:r>
            <w:r>
              <w:rPr>
                <w:rFonts w:ascii="Times New Roman Regular" w:hAnsi="Times New Roman Regular" w:cs="Times New Roman Regular"/>
                <w:sz w:val="20"/>
                <w:szCs w:val="20"/>
              </w:rPr>
              <w:t>/</w:t>
            </w:r>
          </w:p>
        </w:tc>
        <w:tc>
          <w:tcPr>
            <w:tcW w:w="2943" w:type="dxa"/>
            <w:tcBorders>
              <w:left w:val="nil"/>
            </w:tcBorders>
          </w:tcPr>
          <w:p w14:paraId="2B3949EC" w14:textId="77777777" w:rsidR="00A47DD3" w:rsidRDefault="00F04FB5">
            <w:pPr>
              <w:spacing w:after="0" w:line="260" w:lineRule="auto"/>
              <w:jc w:val="center"/>
              <w:rPr>
                <w:rFonts w:ascii="Times New Roman Regular" w:hAnsi="Times New Roman Regular" w:cs="Times New Roman Regular"/>
                <w:sz w:val="20"/>
                <w:szCs w:val="20"/>
              </w:rPr>
            </w:pPr>
            <w:r>
              <w:rPr>
                <w:rFonts w:ascii="Times New Roman Regular" w:hAnsi="Times New Roman Regular" w:cs="Times New Roman Regular"/>
                <w:sz w:val="20"/>
                <w:szCs w:val="20"/>
              </w:rPr>
              <w:t>2</w:t>
            </w:r>
          </w:p>
        </w:tc>
      </w:tr>
      <w:tr w:rsidR="00A47DD3" w14:paraId="01D02969" w14:textId="77777777">
        <w:tc>
          <w:tcPr>
            <w:tcW w:w="808" w:type="dxa"/>
            <w:tcBorders>
              <w:right w:val="nil"/>
            </w:tcBorders>
          </w:tcPr>
          <w:p w14:paraId="51D071B1" w14:textId="77777777" w:rsidR="00A47DD3" w:rsidRDefault="00F04FB5">
            <w:pPr>
              <w:spacing w:after="0" w:line="260" w:lineRule="auto"/>
              <w:jc w:val="center"/>
              <w:rPr>
                <w:rFonts w:ascii="Times New Roman Regular" w:hAnsi="Times New Roman Regular" w:cs="Times New Roman Regular"/>
                <w:sz w:val="20"/>
                <w:szCs w:val="20"/>
              </w:rPr>
            </w:pPr>
            <w:r>
              <w:rPr>
                <w:rFonts w:ascii="Times New Roman Regular" w:hAnsi="Times New Roman Regular" w:cs="Times New Roman Regular"/>
                <w:sz w:val="20"/>
                <w:szCs w:val="20"/>
              </w:rPr>
              <w:t>7</w:t>
            </w:r>
          </w:p>
        </w:tc>
        <w:tc>
          <w:tcPr>
            <w:tcW w:w="2275" w:type="dxa"/>
            <w:tcBorders>
              <w:left w:val="nil"/>
              <w:right w:val="nil"/>
            </w:tcBorders>
          </w:tcPr>
          <w:p w14:paraId="44A66F03" w14:textId="77777777" w:rsidR="00A47DD3" w:rsidRDefault="00F04FB5">
            <w:pPr>
              <w:spacing w:after="0" w:line="260" w:lineRule="auto"/>
              <w:jc w:val="center"/>
              <w:rPr>
                <w:rFonts w:ascii="Times New Roman Regular" w:hAnsi="Times New Roman Regular" w:cs="Times New Roman Regular"/>
                <w:sz w:val="20"/>
                <w:szCs w:val="20"/>
              </w:rPr>
            </w:pPr>
            <w:r>
              <w:rPr>
                <w:rFonts w:ascii="Times New Roman Regular" w:hAnsi="Times New Roman Regular" w:cs="Times New Roman Regular"/>
                <w:sz w:val="20"/>
                <w:szCs w:val="20"/>
              </w:rPr>
              <w:t>/</w:t>
            </w:r>
            <w:r>
              <w:rPr>
                <w:rFonts w:ascii="Times New Roman Regular" w:hAnsi="Times New Roman Regular" w:cs="Times New Roman Regular"/>
                <w:sz w:val="20"/>
                <w:szCs w:val="20"/>
              </w:rPr>
              <w:t>əʊ</w:t>
            </w:r>
            <w:r>
              <w:rPr>
                <w:rFonts w:ascii="Times New Roman Regular" w:hAnsi="Times New Roman Regular" w:cs="Times New Roman Regular"/>
                <w:sz w:val="20"/>
                <w:szCs w:val="20"/>
              </w:rPr>
              <w:t>/</w:t>
            </w:r>
          </w:p>
        </w:tc>
        <w:tc>
          <w:tcPr>
            <w:tcW w:w="2943" w:type="dxa"/>
            <w:tcBorders>
              <w:left w:val="nil"/>
            </w:tcBorders>
          </w:tcPr>
          <w:p w14:paraId="3FFDAC84" w14:textId="77777777" w:rsidR="00A47DD3" w:rsidRDefault="00F04FB5">
            <w:pPr>
              <w:spacing w:after="0" w:line="260" w:lineRule="auto"/>
              <w:jc w:val="center"/>
              <w:rPr>
                <w:rFonts w:ascii="Times New Roman Regular" w:hAnsi="Times New Roman Regular" w:cs="Times New Roman Regular"/>
                <w:sz w:val="20"/>
                <w:szCs w:val="20"/>
              </w:rPr>
            </w:pPr>
            <w:r>
              <w:rPr>
                <w:rFonts w:ascii="Times New Roman Regular" w:hAnsi="Times New Roman Regular" w:cs="Times New Roman Regular"/>
                <w:sz w:val="20"/>
                <w:szCs w:val="20"/>
              </w:rPr>
              <w:t>50</w:t>
            </w:r>
          </w:p>
        </w:tc>
      </w:tr>
      <w:tr w:rsidR="00A47DD3" w14:paraId="04EE2CEC" w14:textId="77777777">
        <w:tc>
          <w:tcPr>
            <w:tcW w:w="808" w:type="dxa"/>
            <w:tcBorders>
              <w:right w:val="nil"/>
            </w:tcBorders>
          </w:tcPr>
          <w:p w14:paraId="29D15260" w14:textId="77777777" w:rsidR="00A47DD3" w:rsidRDefault="00F04FB5">
            <w:pPr>
              <w:spacing w:after="0" w:line="260" w:lineRule="auto"/>
              <w:jc w:val="center"/>
              <w:rPr>
                <w:rFonts w:ascii="Times New Roman Regular" w:hAnsi="Times New Roman Regular" w:cs="Times New Roman Regular"/>
                <w:sz w:val="20"/>
                <w:szCs w:val="20"/>
              </w:rPr>
            </w:pPr>
            <w:r>
              <w:rPr>
                <w:rFonts w:ascii="Times New Roman Regular" w:hAnsi="Times New Roman Regular" w:cs="Times New Roman Regular"/>
                <w:sz w:val="20"/>
                <w:szCs w:val="20"/>
              </w:rPr>
              <w:t>8</w:t>
            </w:r>
          </w:p>
        </w:tc>
        <w:tc>
          <w:tcPr>
            <w:tcW w:w="2275" w:type="dxa"/>
            <w:tcBorders>
              <w:left w:val="nil"/>
              <w:right w:val="nil"/>
            </w:tcBorders>
          </w:tcPr>
          <w:p w14:paraId="5E51ED50" w14:textId="77777777" w:rsidR="00A47DD3" w:rsidRDefault="00F04FB5">
            <w:pPr>
              <w:spacing w:after="0" w:line="260" w:lineRule="auto"/>
              <w:jc w:val="center"/>
              <w:rPr>
                <w:rFonts w:ascii="Times New Roman Regular" w:hAnsi="Times New Roman Regular" w:cs="Times New Roman Regular"/>
                <w:sz w:val="20"/>
                <w:szCs w:val="20"/>
              </w:rPr>
            </w:pPr>
            <w:r>
              <w:rPr>
                <w:rFonts w:ascii="Times New Roman Regular" w:hAnsi="Times New Roman Regular" w:cs="Times New Roman Regular"/>
                <w:sz w:val="20"/>
                <w:szCs w:val="20"/>
              </w:rPr>
              <w:t>/a</w:t>
            </w:r>
            <w:r>
              <w:rPr>
                <w:rFonts w:ascii="Times New Roman Regular" w:hAnsi="Times New Roman Regular" w:cs="Times New Roman Regular"/>
                <w:sz w:val="20"/>
                <w:szCs w:val="20"/>
              </w:rPr>
              <w:t>ʊ</w:t>
            </w:r>
            <w:r>
              <w:rPr>
                <w:rFonts w:ascii="Times New Roman Regular" w:hAnsi="Times New Roman Regular" w:cs="Times New Roman Regular"/>
                <w:sz w:val="20"/>
                <w:szCs w:val="20"/>
              </w:rPr>
              <w:t>/</w:t>
            </w:r>
          </w:p>
        </w:tc>
        <w:tc>
          <w:tcPr>
            <w:tcW w:w="2943" w:type="dxa"/>
            <w:tcBorders>
              <w:left w:val="nil"/>
            </w:tcBorders>
          </w:tcPr>
          <w:p w14:paraId="080A0F00" w14:textId="77777777" w:rsidR="00A47DD3" w:rsidRDefault="00F04FB5">
            <w:pPr>
              <w:spacing w:after="0" w:line="260" w:lineRule="auto"/>
              <w:jc w:val="center"/>
              <w:rPr>
                <w:rFonts w:ascii="Times New Roman Regular" w:hAnsi="Times New Roman Regular" w:cs="Times New Roman Regular"/>
                <w:sz w:val="20"/>
                <w:szCs w:val="20"/>
              </w:rPr>
            </w:pPr>
            <w:r>
              <w:rPr>
                <w:rFonts w:ascii="Times New Roman Regular" w:hAnsi="Times New Roman Regular" w:cs="Times New Roman Regular"/>
                <w:sz w:val="20"/>
                <w:szCs w:val="20"/>
              </w:rPr>
              <w:t>27</w:t>
            </w:r>
          </w:p>
        </w:tc>
      </w:tr>
      <w:tr w:rsidR="00A47DD3" w14:paraId="29E66743" w14:textId="77777777">
        <w:trPr>
          <w:trHeight w:val="392"/>
        </w:trPr>
        <w:tc>
          <w:tcPr>
            <w:tcW w:w="6026" w:type="dxa"/>
            <w:gridSpan w:val="3"/>
          </w:tcPr>
          <w:p w14:paraId="403E1CDF" w14:textId="77777777" w:rsidR="00A47DD3" w:rsidRDefault="00F04FB5">
            <w:pPr>
              <w:spacing w:after="0" w:line="260" w:lineRule="auto"/>
              <w:ind w:firstLineChars="800" w:firstLine="1600"/>
              <w:jc w:val="both"/>
              <w:rPr>
                <w:rFonts w:ascii="Times New Roman Regular" w:hAnsi="Times New Roman Regular" w:cs="Times New Roman Regular"/>
                <w:sz w:val="20"/>
                <w:szCs w:val="20"/>
              </w:rPr>
            </w:pPr>
            <w:r>
              <w:rPr>
                <w:rFonts w:ascii="Times New Roman Regular" w:hAnsi="Times New Roman Regular" w:cs="Times New Roman Regular"/>
                <w:sz w:val="20"/>
                <w:szCs w:val="20"/>
              </w:rPr>
              <w:t xml:space="preserve">TOTAL                            </w:t>
            </w:r>
            <w:r>
              <w:rPr>
                <w:rFonts w:ascii="Times New Roman Regular" w:hAnsi="Times New Roman Regular" w:cs="Times New Roman Regular"/>
                <w:sz w:val="20"/>
                <w:szCs w:val="20"/>
              </w:rPr>
              <w:t xml:space="preserve">             </w:t>
            </w:r>
            <w:r>
              <w:rPr>
                <w:rFonts w:ascii="Times New Roman Regular" w:hAnsi="Times New Roman Regular" w:cs="Times New Roman Regular"/>
                <w:sz w:val="20"/>
                <w:szCs w:val="20"/>
              </w:rPr>
              <w:t>216</w:t>
            </w:r>
          </w:p>
        </w:tc>
      </w:tr>
    </w:tbl>
    <w:p w14:paraId="07143D6D" w14:textId="77777777" w:rsidR="00A47DD3" w:rsidRDefault="00F04FB5">
      <w:pPr>
        <w:spacing w:line="240" w:lineRule="auto"/>
        <w:ind w:firstLine="720"/>
        <w:jc w:val="both"/>
        <w:rPr>
          <w:rFonts w:ascii="Times New Roman Regular" w:hAnsi="Times New Roman Regular" w:cs="Times New Roman Regular"/>
          <w:sz w:val="24"/>
          <w:szCs w:val="24"/>
        </w:rPr>
      </w:pPr>
      <w:r>
        <w:rPr>
          <w:rFonts w:ascii="Times New Roman Regular" w:hAnsi="Times New Roman Regular" w:cs="Times New Roman Regular"/>
          <w:sz w:val="24"/>
          <w:szCs w:val="24"/>
        </w:rPr>
        <w:lastRenderedPageBreak/>
        <w:t>As seen in Table</w:t>
      </w:r>
      <w:r>
        <w:rPr>
          <w:rFonts w:ascii="Times New Roman Regular" w:hAnsi="Times New Roman Regular" w:cs="Times New Roman Regular"/>
          <w:sz w:val="24"/>
          <w:szCs w:val="24"/>
        </w:rPr>
        <w:t xml:space="preserve"> 1,</w:t>
      </w:r>
      <w:r>
        <w:rPr>
          <w:rFonts w:ascii="Times New Roman Regular" w:hAnsi="Times New Roman Regular" w:cs="Times New Roman Regular"/>
          <w:sz w:val="24"/>
          <w:szCs w:val="24"/>
        </w:rPr>
        <w:t xml:space="preserve"> the most frequently mispronounced diphthong was /</w:t>
      </w:r>
      <w:r>
        <w:rPr>
          <w:rFonts w:ascii="Times New Roman Regular" w:hAnsi="Times New Roman Regular" w:cs="Times New Roman Regular"/>
          <w:sz w:val="24"/>
          <w:szCs w:val="24"/>
        </w:rPr>
        <w:t>əʊ</w:t>
      </w:r>
      <w:r>
        <w:rPr>
          <w:rFonts w:ascii="Times New Roman Regular" w:hAnsi="Times New Roman Regular" w:cs="Times New Roman Regular"/>
          <w:sz w:val="24"/>
          <w:szCs w:val="24"/>
        </w:rPr>
        <w:t>/, with a total of 50 errors, followed closely by /e</w:t>
      </w:r>
      <w:r>
        <w:rPr>
          <w:rFonts w:ascii="Times New Roman Regular" w:hAnsi="Times New Roman Regular" w:cs="Times New Roman Regular"/>
          <w:sz w:val="24"/>
          <w:szCs w:val="24"/>
        </w:rPr>
        <w:t>ɪ</w:t>
      </w:r>
      <w:r>
        <w:rPr>
          <w:rFonts w:ascii="Times New Roman Regular" w:hAnsi="Times New Roman Regular" w:cs="Times New Roman Regular"/>
          <w:sz w:val="24"/>
          <w:szCs w:val="24"/>
        </w:rPr>
        <w:t>/ (49 errors) and /</w:t>
      </w:r>
      <w:r>
        <w:rPr>
          <w:rFonts w:ascii="Times New Roman Regular" w:hAnsi="Times New Roman Regular" w:cs="Times New Roman Regular"/>
          <w:sz w:val="24"/>
          <w:szCs w:val="24"/>
        </w:rPr>
        <w:t>ɪə</w:t>
      </w:r>
      <w:r>
        <w:rPr>
          <w:rFonts w:ascii="Times New Roman Regular" w:hAnsi="Times New Roman Regular" w:cs="Times New Roman Regular"/>
          <w:sz w:val="24"/>
          <w:szCs w:val="24"/>
        </w:rPr>
        <w:t>/ (46 errors). These three diphthongs presented the greatest challenge to students. On the other hand, the diphthongs with the few</w:t>
      </w:r>
      <w:r>
        <w:rPr>
          <w:rFonts w:ascii="Times New Roman Regular" w:hAnsi="Times New Roman Regular" w:cs="Times New Roman Regular"/>
          <w:sz w:val="24"/>
          <w:szCs w:val="24"/>
        </w:rPr>
        <w:t>est errors were /</w:t>
      </w:r>
      <w:r>
        <w:rPr>
          <w:rFonts w:ascii="Times New Roman Regular" w:hAnsi="Times New Roman Regular" w:cs="Times New Roman Regular"/>
          <w:sz w:val="24"/>
          <w:szCs w:val="24"/>
        </w:rPr>
        <w:t>ɔɪ</w:t>
      </w:r>
      <w:r>
        <w:rPr>
          <w:rFonts w:ascii="Times New Roman Regular" w:hAnsi="Times New Roman Regular" w:cs="Times New Roman Regular"/>
          <w:sz w:val="24"/>
          <w:szCs w:val="24"/>
        </w:rPr>
        <w:t>/ (2 errors), /</w:t>
      </w:r>
      <w:r>
        <w:rPr>
          <w:rFonts w:ascii="Times New Roman Regular" w:hAnsi="Times New Roman Regular" w:cs="Times New Roman Regular"/>
          <w:sz w:val="24"/>
          <w:szCs w:val="24"/>
        </w:rPr>
        <w:t>ʊə</w:t>
      </w:r>
      <w:r>
        <w:rPr>
          <w:rFonts w:ascii="Times New Roman Regular" w:hAnsi="Times New Roman Regular" w:cs="Times New Roman Regular"/>
          <w:sz w:val="24"/>
          <w:szCs w:val="24"/>
        </w:rPr>
        <w:t>/ (10 errors), and /a</w:t>
      </w:r>
      <w:r>
        <w:rPr>
          <w:rFonts w:ascii="Times New Roman Regular" w:hAnsi="Times New Roman Regular" w:cs="Times New Roman Regular"/>
          <w:sz w:val="24"/>
          <w:szCs w:val="24"/>
        </w:rPr>
        <w:t>ɪ</w:t>
      </w:r>
      <w:r>
        <w:rPr>
          <w:rFonts w:ascii="Times New Roman Regular" w:hAnsi="Times New Roman Regular" w:cs="Times New Roman Regular"/>
          <w:sz w:val="24"/>
          <w:szCs w:val="24"/>
        </w:rPr>
        <w:t>/ (11 errors), indicating that these sounds were less problematic for the participants. The high number of errors in diphthongs such as /</w:t>
      </w:r>
      <w:r>
        <w:rPr>
          <w:rFonts w:ascii="Times New Roman Regular" w:hAnsi="Times New Roman Regular" w:cs="Times New Roman Regular"/>
          <w:sz w:val="24"/>
          <w:szCs w:val="24"/>
        </w:rPr>
        <w:t>əʊ</w:t>
      </w:r>
      <w:r>
        <w:rPr>
          <w:rFonts w:ascii="Times New Roman Regular" w:hAnsi="Times New Roman Regular" w:cs="Times New Roman Regular"/>
          <w:sz w:val="24"/>
          <w:szCs w:val="24"/>
        </w:rPr>
        <w:t>/, /e</w:t>
      </w:r>
      <w:r>
        <w:rPr>
          <w:rFonts w:ascii="Times New Roman Regular" w:hAnsi="Times New Roman Regular" w:cs="Times New Roman Regular"/>
          <w:sz w:val="24"/>
          <w:szCs w:val="24"/>
        </w:rPr>
        <w:t>ɪ</w:t>
      </w:r>
      <w:r>
        <w:rPr>
          <w:rFonts w:ascii="Times New Roman Regular" w:hAnsi="Times New Roman Regular" w:cs="Times New Roman Regular"/>
          <w:sz w:val="24"/>
          <w:szCs w:val="24"/>
        </w:rPr>
        <w:t>/, and /</w:t>
      </w:r>
      <w:r>
        <w:rPr>
          <w:rFonts w:ascii="Times New Roman Regular" w:hAnsi="Times New Roman Regular" w:cs="Times New Roman Regular"/>
          <w:sz w:val="24"/>
          <w:szCs w:val="24"/>
        </w:rPr>
        <w:t>ɪə</w:t>
      </w:r>
      <w:r>
        <w:rPr>
          <w:rFonts w:ascii="Times New Roman Regular" w:hAnsi="Times New Roman Regular" w:cs="Times New Roman Regular"/>
          <w:sz w:val="24"/>
          <w:szCs w:val="24"/>
        </w:rPr>
        <w:t>/ suggests that students may have difficult</w:t>
      </w:r>
      <w:r>
        <w:rPr>
          <w:rFonts w:ascii="Times New Roman Regular" w:hAnsi="Times New Roman Regular" w:cs="Times New Roman Regular"/>
          <w:sz w:val="24"/>
          <w:szCs w:val="24"/>
        </w:rPr>
        <w:t xml:space="preserve">y producing vowel glides that do not exist in their native language, Bahasa Indonesia. </w:t>
      </w:r>
      <w:r>
        <w:rPr>
          <w:rFonts w:ascii="Times New Roman Regular" w:hAnsi="Times New Roman Regular" w:cs="Times New Roman Regular"/>
          <w:iCs/>
          <w:sz w:val="24"/>
          <w:szCs w:val="24"/>
        </w:rPr>
        <w:t>Addition</w:t>
      </w:r>
      <w:r>
        <w:rPr>
          <w:rFonts w:ascii="Times New Roman Regular" w:hAnsi="Times New Roman Regular" w:cs="Times New Roman Regular"/>
          <w:sz w:val="24"/>
          <w:szCs w:val="24"/>
        </w:rPr>
        <w:t>ally, these diphthongs often involve more complex articulatory movements, which may contribute to the increased error rate.</w:t>
      </w:r>
    </w:p>
    <w:p w14:paraId="2E852809" w14:textId="77777777" w:rsidR="00A47DD3" w:rsidRDefault="00F04FB5">
      <w:pPr>
        <w:spacing w:line="240" w:lineRule="auto"/>
        <w:ind w:firstLine="720"/>
        <w:jc w:val="both"/>
        <w:rPr>
          <w:rFonts w:ascii="Times New Roman Regular" w:hAnsi="Times New Roman Regular" w:cs="Times New Roman Regular"/>
          <w:sz w:val="24"/>
          <w:szCs w:val="24"/>
        </w:rPr>
      </w:pPr>
      <w:r>
        <w:rPr>
          <w:rFonts w:ascii="Times New Roman" w:hAnsi="Times New Roman"/>
          <w:sz w:val="24"/>
          <w:szCs w:val="24"/>
        </w:rPr>
        <w:t>The third analysis examined the assoc</w:t>
      </w:r>
      <w:r>
        <w:rPr>
          <w:rFonts w:ascii="Times New Roman" w:hAnsi="Times New Roman"/>
          <w:sz w:val="24"/>
          <w:szCs w:val="24"/>
        </w:rPr>
        <w:t xml:space="preserve">iation  between students’ theoretical understanding of diphthongs and their actual pronunciation accuracy. </w:t>
      </w:r>
      <w:r>
        <w:rPr>
          <w:rFonts w:ascii="Times New Roman Regular" w:hAnsi="Times New Roman Regular" w:cs="Times New Roman Regular"/>
          <w:sz w:val="24"/>
          <w:szCs w:val="24"/>
        </w:rPr>
        <w:t>The result is presented in the following table</w:t>
      </w:r>
      <w:r>
        <w:rPr>
          <w:rFonts w:ascii="Times New Roman Regular" w:hAnsi="Times New Roman Regular" w:cs="Times New Roman Regular"/>
          <w:sz w:val="24"/>
          <w:szCs w:val="24"/>
        </w:rPr>
        <w:t>.</w:t>
      </w:r>
    </w:p>
    <w:p w14:paraId="455DA5E7" w14:textId="77777777" w:rsidR="00A47DD3" w:rsidRDefault="00F04FB5">
      <w:pPr>
        <w:tabs>
          <w:tab w:val="left" w:pos="880"/>
        </w:tabs>
        <w:spacing w:before="120" w:after="120" w:line="260" w:lineRule="auto"/>
        <w:jc w:val="center"/>
        <w:rPr>
          <w:rFonts w:ascii="Times New Roman Regular" w:hAnsi="Times New Roman Regular" w:cs="Times New Roman Regular"/>
          <w:sz w:val="24"/>
          <w:szCs w:val="24"/>
        </w:rPr>
      </w:pPr>
      <w:r>
        <w:rPr>
          <w:rFonts w:ascii="Times New Roman" w:hAnsi="Times New Roman" w:cs="Times New Roman"/>
        </w:rPr>
        <w:t xml:space="preserve">Table </w:t>
      </w:r>
      <w:r>
        <w:rPr>
          <w:rFonts w:ascii="Times New Roman" w:hAnsi="Times New Roman" w:cs="Times New Roman"/>
        </w:rPr>
        <w:t>2.</w:t>
      </w:r>
      <w:r>
        <w:rPr>
          <w:rFonts w:ascii="Times New Roman" w:hAnsi="Times New Roman" w:cs="Times New Roman"/>
        </w:rPr>
        <w:t xml:space="preserve"> Students’ Prior Knowledge and Their Pronunciation Performance</w:t>
      </w:r>
    </w:p>
    <w:tbl>
      <w:tblPr>
        <w:tblStyle w:val="TableGrid"/>
        <w:tblW w:w="0" w:type="auto"/>
        <w:tblInd w:w="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1"/>
        <w:gridCol w:w="1537"/>
        <w:gridCol w:w="1471"/>
        <w:gridCol w:w="1665"/>
      </w:tblGrid>
      <w:tr w:rsidR="00A47DD3" w14:paraId="0F9CA246" w14:textId="77777777">
        <w:trPr>
          <w:trHeight w:val="696"/>
        </w:trPr>
        <w:tc>
          <w:tcPr>
            <w:tcW w:w="3191" w:type="dxa"/>
            <w:tcBorders>
              <w:right w:val="nil"/>
            </w:tcBorders>
          </w:tcPr>
          <w:p w14:paraId="34B27772" w14:textId="77777777" w:rsidR="00A47DD3" w:rsidRDefault="00F04FB5">
            <w:pPr>
              <w:tabs>
                <w:tab w:val="left" w:pos="880"/>
              </w:tabs>
              <w:snapToGrid w:val="0"/>
              <w:spacing w:beforeLines="50" w:before="120" w:after="0" w:line="260" w:lineRule="auto"/>
              <w:ind w:firstLineChars="800" w:firstLine="1600"/>
              <w:jc w:val="both"/>
              <w:rPr>
                <w:rFonts w:ascii="Times New Roman Regular" w:hAnsi="Times New Roman Regular" w:cs="Times New Roman Regular"/>
                <w:b/>
                <w:bCs/>
                <w:sz w:val="20"/>
                <w:szCs w:val="20"/>
              </w:rPr>
            </w:pPr>
            <w:r>
              <w:rPr>
                <w:rFonts w:ascii="Times New Roman Regular" w:hAnsi="Times New Roman Regular" w:cs="Times New Roman Regular"/>
                <w:noProof/>
                <w:sz w:val="20"/>
              </w:rPr>
              <mc:AlternateContent>
                <mc:Choice Requires="wps">
                  <w:drawing>
                    <wp:anchor distT="0" distB="0" distL="114300" distR="114300" simplePos="0" relativeHeight="251660288" behindDoc="0" locked="0" layoutInCell="1" allowOverlap="1" wp14:anchorId="446631D6" wp14:editId="1F92C3F9">
                      <wp:simplePos x="0" y="0"/>
                      <wp:positionH relativeFrom="column">
                        <wp:posOffset>-64770</wp:posOffset>
                      </wp:positionH>
                      <wp:positionV relativeFrom="paragraph">
                        <wp:posOffset>13335</wp:posOffset>
                      </wp:positionV>
                      <wp:extent cx="2044700" cy="463550"/>
                      <wp:effectExtent l="1270" t="6350" r="11430" b="12700"/>
                      <wp:wrapNone/>
                      <wp:docPr id="2" name="Straight Connector 2"/>
                      <wp:cNvGraphicFramePr/>
                      <a:graphic xmlns:a="http://schemas.openxmlformats.org/drawingml/2006/main">
                        <a:graphicData uri="http://schemas.microsoft.com/office/word/2010/wordprocessingShape">
                          <wps:wsp>
                            <wps:cNvCnPr/>
                            <wps:spPr>
                              <a:xfrm>
                                <a:off x="1381125" y="6303645"/>
                                <a:ext cx="2044700" cy="463550"/>
                              </a:xfrm>
                              <a:prstGeom prst="line">
                                <a:avLst/>
                              </a:prstGeom>
                            </wps:spPr>
                            <wps:style>
                              <a:lnRef idx="2">
                                <a:prstClr val="black"/>
                              </a:lnRef>
                              <a:fillRef idx="0">
                                <a:srgbClr val="FFFFFF"/>
                              </a:fillRef>
                              <a:effectRef idx="0">
                                <a:srgbClr val="FFFFFF"/>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5.1pt;margin-top:1.05pt;height:36.5pt;width:161pt;z-index:251660288;mso-width-relative:page;mso-height-relative:page;" filled="f" stroked="t" coordsize="21600,21600" o:gfxdata="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VCsVl2AAA&#10;AAgBAAAPAAAAAAAAAAEAIAAAACIAAABkcnMvZG93bnJldi54bWxQSwECFAAUAAAACACHTuJA1fSE&#10;LuUBAADFAwAADgAAAAAAAAABACAAAAAnAQAAZHJzL2Uyb0RvYy54bWxQSwUGAAAAAAYABgBZAQAA&#10;fgUAAAAA&#10;">
                      <v:fill on="f" focussize="0,0"/>
                      <v:stroke weight="1pt" color="#000000" miterlimit="8" joinstyle="miter"/>
                      <v:imagedata o:title=""/>
                      <o:lock v:ext="edit" aspectratio="f"/>
                    </v:line>
                  </w:pict>
                </mc:Fallback>
              </mc:AlternateContent>
            </w:r>
            <w:r>
              <w:rPr>
                <w:rFonts w:ascii="Times New Roman Regular" w:hAnsi="Times New Roman Regular" w:cs="Times New Roman Regular"/>
                <w:b/>
                <w:bCs/>
                <w:sz w:val="20"/>
                <w:szCs w:val="20"/>
              </w:rPr>
              <w:t>Knowledge</w:t>
            </w:r>
          </w:p>
          <w:p w14:paraId="3D9D12CD" w14:textId="77777777" w:rsidR="00A47DD3" w:rsidRDefault="00F04FB5">
            <w:pPr>
              <w:tabs>
                <w:tab w:val="left" w:pos="880"/>
              </w:tabs>
              <w:spacing w:beforeLines="50" w:before="120" w:after="0" w:line="260" w:lineRule="auto"/>
              <w:jc w:val="both"/>
              <w:rPr>
                <w:rFonts w:ascii="Times New Roman Regular" w:hAnsi="Times New Roman Regular" w:cs="Times New Roman Regular"/>
                <w:b/>
                <w:bCs/>
                <w:sz w:val="20"/>
                <w:szCs w:val="20"/>
              </w:rPr>
            </w:pPr>
            <w:r>
              <w:rPr>
                <w:rFonts w:ascii="Times New Roman Regular" w:hAnsi="Times New Roman Regular" w:cs="Times New Roman Regular"/>
                <w:b/>
                <w:bCs/>
                <w:sz w:val="20"/>
                <w:szCs w:val="20"/>
              </w:rPr>
              <w:t>Performance</w:t>
            </w:r>
          </w:p>
        </w:tc>
        <w:tc>
          <w:tcPr>
            <w:tcW w:w="1537" w:type="dxa"/>
            <w:tcBorders>
              <w:left w:val="nil"/>
              <w:right w:val="nil"/>
            </w:tcBorders>
          </w:tcPr>
          <w:p w14:paraId="4DE719C3" w14:textId="77777777" w:rsidR="00A47DD3" w:rsidRDefault="00F04FB5">
            <w:pPr>
              <w:tabs>
                <w:tab w:val="left" w:pos="880"/>
              </w:tabs>
              <w:spacing w:beforeLines="50" w:before="120" w:after="0" w:line="260" w:lineRule="auto"/>
              <w:jc w:val="center"/>
              <w:rPr>
                <w:rFonts w:ascii="Times New Roman Regular" w:hAnsi="Times New Roman Regular" w:cs="Times New Roman Regular"/>
                <w:b/>
                <w:bCs/>
                <w:sz w:val="20"/>
                <w:szCs w:val="20"/>
              </w:rPr>
            </w:pPr>
            <w:r>
              <w:rPr>
                <w:rFonts w:ascii="Times New Roman Regular" w:hAnsi="Times New Roman Regular" w:cs="Times New Roman Regular"/>
                <w:b/>
                <w:bCs/>
                <w:sz w:val="20"/>
                <w:szCs w:val="20"/>
              </w:rPr>
              <w:t>Poor</w:t>
            </w:r>
          </w:p>
        </w:tc>
        <w:tc>
          <w:tcPr>
            <w:tcW w:w="1471" w:type="dxa"/>
            <w:tcBorders>
              <w:left w:val="nil"/>
              <w:right w:val="nil"/>
            </w:tcBorders>
          </w:tcPr>
          <w:p w14:paraId="35D43F22" w14:textId="77777777" w:rsidR="00A47DD3" w:rsidRDefault="00F04FB5">
            <w:pPr>
              <w:tabs>
                <w:tab w:val="left" w:pos="880"/>
              </w:tabs>
              <w:spacing w:beforeLines="50" w:before="120" w:after="0" w:line="260" w:lineRule="auto"/>
              <w:jc w:val="center"/>
              <w:rPr>
                <w:rFonts w:ascii="Times New Roman Regular" w:hAnsi="Times New Roman Regular" w:cs="Times New Roman Regular"/>
                <w:b/>
                <w:bCs/>
                <w:sz w:val="20"/>
                <w:szCs w:val="20"/>
              </w:rPr>
            </w:pPr>
            <w:r>
              <w:rPr>
                <w:rFonts w:ascii="Times New Roman Regular" w:hAnsi="Times New Roman Regular" w:cs="Times New Roman Regular"/>
                <w:b/>
                <w:bCs/>
                <w:sz w:val="20"/>
                <w:szCs w:val="20"/>
              </w:rPr>
              <w:t>Moderate</w:t>
            </w:r>
          </w:p>
        </w:tc>
        <w:tc>
          <w:tcPr>
            <w:tcW w:w="1665" w:type="dxa"/>
            <w:tcBorders>
              <w:left w:val="nil"/>
            </w:tcBorders>
          </w:tcPr>
          <w:p w14:paraId="2A86C768" w14:textId="77777777" w:rsidR="00A47DD3" w:rsidRDefault="00F04FB5">
            <w:pPr>
              <w:tabs>
                <w:tab w:val="left" w:pos="880"/>
              </w:tabs>
              <w:spacing w:beforeLines="50" w:before="120" w:after="0" w:line="260" w:lineRule="auto"/>
              <w:jc w:val="center"/>
              <w:rPr>
                <w:rFonts w:ascii="Times New Roman Regular" w:hAnsi="Times New Roman Regular" w:cs="Times New Roman Regular"/>
                <w:b/>
                <w:bCs/>
                <w:sz w:val="20"/>
                <w:szCs w:val="20"/>
              </w:rPr>
            </w:pPr>
            <w:r>
              <w:rPr>
                <w:rFonts w:ascii="Times New Roman Regular" w:hAnsi="Times New Roman Regular" w:cs="Times New Roman Regular"/>
                <w:b/>
                <w:bCs/>
                <w:sz w:val="20"/>
                <w:szCs w:val="20"/>
              </w:rPr>
              <w:t>Good</w:t>
            </w:r>
          </w:p>
        </w:tc>
      </w:tr>
      <w:tr w:rsidR="00A47DD3" w14:paraId="37C08D9D" w14:textId="77777777">
        <w:tc>
          <w:tcPr>
            <w:tcW w:w="3191" w:type="dxa"/>
            <w:tcBorders>
              <w:right w:val="nil"/>
            </w:tcBorders>
          </w:tcPr>
          <w:p w14:paraId="070A0178" w14:textId="77777777" w:rsidR="00A47DD3" w:rsidRDefault="00F04FB5">
            <w:pPr>
              <w:tabs>
                <w:tab w:val="left" w:pos="880"/>
              </w:tabs>
              <w:spacing w:beforeLines="50" w:before="120" w:after="0" w:line="260" w:lineRule="auto"/>
              <w:jc w:val="center"/>
              <w:rPr>
                <w:rFonts w:ascii="Times New Roman Regular" w:hAnsi="Times New Roman Regular" w:cs="Times New Roman Regular"/>
                <w:b/>
                <w:bCs/>
                <w:sz w:val="20"/>
                <w:szCs w:val="20"/>
              </w:rPr>
            </w:pPr>
            <w:r>
              <w:rPr>
                <w:rFonts w:ascii="Times New Roman Regular" w:hAnsi="Times New Roman Regular" w:cs="Times New Roman Regular"/>
                <w:b/>
                <w:bCs/>
                <w:sz w:val="20"/>
                <w:szCs w:val="20"/>
              </w:rPr>
              <w:t>Poor</w:t>
            </w:r>
          </w:p>
        </w:tc>
        <w:tc>
          <w:tcPr>
            <w:tcW w:w="1537" w:type="dxa"/>
            <w:tcBorders>
              <w:left w:val="nil"/>
              <w:right w:val="nil"/>
            </w:tcBorders>
          </w:tcPr>
          <w:p w14:paraId="25E70840" w14:textId="77777777" w:rsidR="00A47DD3" w:rsidRDefault="00F04FB5">
            <w:pPr>
              <w:tabs>
                <w:tab w:val="left" w:pos="880"/>
              </w:tabs>
              <w:spacing w:beforeLines="50" w:before="120" w:after="0" w:line="260" w:lineRule="auto"/>
              <w:jc w:val="center"/>
              <w:rPr>
                <w:rFonts w:ascii="Times New Roman Regular" w:hAnsi="Times New Roman Regular" w:cs="Times New Roman Regular"/>
                <w:sz w:val="20"/>
                <w:szCs w:val="20"/>
              </w:rPr>
            </w:pPr>
            <w:r>
              <w:rPr>
                <w:rFonts w:ascii="Times New Roman Regular" w:hAnsi="Times New Roman Regular" w:cs="Times New Roman Regular"/>
                <w:sz w:val="20"/>
                <w:szCs w:val="20"/>
              </w:rPr>
              <w:t>0</w:t>
            </w:r>
          </w:p>
        </w:tc>
        <w:tc>
          <w:tcPr>
            <w:tcW w:w="1471" w:type="dxa"/>
            <w:tcBorders>
              <w:left w:val="nil"/>
              <w:right w:val="nil"/>
            </w:tcBorders>
          </w:tcPr>
          <w:p w14:paraId="2B3446CF" w14:textId="77777777" w:rsidR="00A47DD3" w:rsidRDefault="00F04FB5">
            <w:pPr>
              <w:tabs>
                <w:tab w:val="left" w:pos="880"/>
              </w:tabs>
              <w:spacing w:beforeLines="50" w:before="120" w:after="0" w:line="260" w:lineRule="auto"/>
              <w:jc w:val="center"/>
              <w:rPr>
                <w:rFonts w:ascii="Times New Roman Regular" w:hAnsi="Times New Roman Regular" w:cs="Times New Roman Regular"/>
                <w:sz w:val="20"/>
                <w:szCs w:val="20"/>
              </w:rPr>
            </w:pPr>
            <w:r>
              <w:rPr>
                <w:rFonts w:ascii="Times New Roman Regular" w:hAnsi="Times New Roman Regular" w:cs="Times New Roman Regular"/>
                <w:sz w:val="20"/>
                <w:szCs w:val="20"/>
              </w:rPr>
              <w:t>1</w:t>
            </w:r>
          </w:p>
        </w:tc>
        <w:tc>
          <w:tcPr>
            <w:tcW w:w="1665" w:type="dxa"/>
            <w:tcBorders>
              <w:left w:val="nil"/>
            </w:tcBorders>
          </w:tcPr>
          <w:p w14:paraId="0F8D3896" w14:textId="77777777" w:rsidR="00A47DD3" w:rsidRDefault="00F04FB5">
            <w:pPr>
              <w:tabs>
                <w:tab w:val="left" w:pos="880"/>
              </w:tabs>
              <w:spacing w:beforeLines="50" w:before="120" w:after="0" w:line="260" w:lineRule="auto"/>
              <w:jc w:val="center"/>
              <w:rPr>
                <w:rFonts w:ascii="Times New Roman Regular" w:hAnsi="Times New Roman Regular" w:cs="Times New Roman Regular"/>
                <w:sz w:val="20"/>
                <w:szCs w:val="20"/>
              </w:rPr>
            </w:pPr>
            <w:r>
              <w:rPr>
                <w:rFonts w:ascii="Times New Roman Regular" w:hAnsi="Times New Roman Regular" w:cs="Times New Roman Regular"/>
                <w:sz w:val="20"/>
                <w:szCs w:val="20"/>
              </w:rPr>
              <w:t>0</w:t>
            </w:r>
          </w:p>
        </w:tc>
      </w:tr>
      <w:tr w:rsidR="00A47DD3" w14:paraId="2A920DD1" w14:textId="77777777">
        <w:tc>
          <w:tcPr>
            <w:tcW w:w="3191" w:type="dxa"/>
            <w:tcBorders>
              <w:right w:val="nil"/>
            </w:tcBorders>
          </w:tcPr>
          <w:p w14:paraId="71057F92" w14:textId="77777777" w:rsidR="00A47DD3" w:rsidRDefault="00F04FB5">
            <w:pPr>
              <w:tabs>
                <w:tab w:val="left" w:pos="880"/>
              </w:tabs>
              <w:spacing w:beforeLines="50" w:before="120" w:after="0" w:line="260" w:lineRule="auto"/>
              <w:jc w:val="center"/>
              <w:rPr>
                <w:rFonts w:ascii="Times New Roman Regular" w:hAnsi="Times New Roman Regular" w:cs="Times New Roman Regular"/>
                <w:b/>
                <w:bCs/>
                <w:sz w:val="20"/>
                <w:szCs w:val="20"/>
              </w:rPr>
            </w:pPr>
            <w:r>
              <w:rPr>
                <w:rFonts w:ascii="Times New Roman Regular" w:hAnsi="Times New Roman Regular" w:cs="Times New Roman Regular"/>
                <w:b/>
                <w:bCs/>
                <w:sz w:val="20"/>
                <w:szCs w:val="20"/>
              </w:rPr>
              <w:t>Moderate</w:t>
            </w:r>
          </w:p>
        </w:tc>
        <w:tc>
          <w:tcPr>
            <w:tcW w:w="1537" w:type="dxa"/>
            <w:tcBorders>
              <w:left w:val="nil"/>
              <w:right w:val="nil"/>
            </w:tcBorders>
          </w:tcPr>
          <w:p w14:paraId="7AFC0570" w14:textId="77777777" w:rsidR="00A47DD3" w:rsidRDefault="00F04FB5">
            <w:pPr>
              <w:tabs>
                <w:tab w:val="left" w:pos="880"/>
              </w:tabs>
              <w:spacing w:beforeLines="50" w:before="120" w:after="0" w:line="260" w:lineRule="auto"/>
              <w:jc w:val="center"/>
              <w:rPr>
                <w:rFonts w:ascii="Times New Roman Regular" w:hAnsi="Times New Roman Regular" w:cs="Times New Roman Regular"/>
                <w:sz w:val="20"/>
                <w:szCs w:val="20"/>
              </w:rPr>
            </w:pPr>
            <w:r>
              <w:rPr>
                <w:rFonts w:ascii="Times New Roman Regular" w:hAnsi="Times New Roman Regular" w:cs="Times New Roman Regular"/>
                <w:sz w:val="20"/>
                <w:szCs w:val="20"/>
              </w:rPr>
              <w:t>0</w:t>
            </w:r>
          </w:p>
        </w:tc>
        <w:tc>
          <w:tcPr>
            <w:tcW w:w="1471" w:type="dxa"/>
            <w:tcBorders>
              <w:left w:val="nil"/>
              <w:right w:val="nil"/>
            </w:tcBorders>
          </w:tcPr>
          <w:p w14:paraId="31698E34" w14:textId="77777777" w:rsidR="00A47DD3" w:rsidRDefault="00F04FB5">
            <w:pPr>
              <w:tabs>
                <w:tab w:val="left" w:pos="880"/>
              </w:tabs>
              <w:spacing w:beforeLines="50" w:before="120" w:after="0" w:line="260" w:lineRule="auto"/>
              <w:jc w:val="center"/>
              <w:rPr>
                <w:rFonts w:ascii="Times New Roman Regular" w:hAnsi="Times New Roman Regular" w:cs="Times New Roman Regular"/>
                <w:sz w:val="20"/>
                <w:szCs w:val="20"/>
              </w:rPr>
            </w:pPr>
            <w:r>
              <w:rPr>
                <w:rFonts w:ascii="Times New Roman Regular" w:hAnsi="Times New Roman Regular" w:cs="Times New Roman Regular"/>
                <w:sz w:val="20"/>
                <w:szCs w:val="20"/>
              </w:rPr>
              <w:t>10</w:t>
            </w:r>
          </w:p>
        </w:tc>
        <w:tc>
          <w:tcPr>
            <w:tcW w:w="1665" w:type="dxa"/>
            <w:tcBorders>
              <w:left w:val="nil"/>
            </w:tcBorders>
          </w:tcPr>
          <w:p w14:paraId="398125C0" w14:textId="77777777" w:rsidR="00A47DD3" w:rsidRDefault="00F04FB5">
            <w:pPr>
              <w:tabs>
                <w:tab w:val="left" w:pos="880"/>
              </w:tabs>
              <w:spacing w:beforeLines="50" w:before="120" w:after="0" w:line="260" w:lineRule="auto"/>
              <w:jc w:val="center"/>
              <w:rPr>
                <w:rFonts w:ascii="Times New Roman Regular" w:hAnsi="Times New Roman Regular" w:cs="Times New Roman Regular"/>
                <w:sz w:val="20"/>
                <w:szCs w:val="20"/>
              </w:rPr>
            </w:pPr>
            <w:r>
              <w:rPr>
                <w:rFonts w:ascii="Times New Roman Regular" w:hAnsi="Times New Roman Regular" w:cs="Times New Roman Regular"/>
                <w:sz w:val="20"/>
                <w:szCs w:val="20"/>
              </w:rPr>
              <w:t>11</w:t>
            </w:r>
          </w:p>
        </w:tc>
      </w:tr>
      <w:tr w:rsidR="00A47DD3" w14:paraId="31A16922" w14:textId="77777777">
        <w:tc>
          <w:tcPr>
            <w:tcW w:w="3191" w:type="dxa"/>
            <w:tcBorders>
              <w:right w:val="nil"/>
            </w:tcBorders>
          </w:tcPr>
          <w:p w14:paraId="4028E750" w14:textId="77777777" w:rsidR="00A47DD3" w:rsidRDefault="00F04FB5">
            <w:pPr>
              <w:tabs>
                <w:tab w:val="left" w:pos="880"/>
              </w:tabs>
              <w:spacing w:beforeLines="50" w:before="120" w:after="0" w:line="260" w:lineRule="auto"/>
              <w:jc w:val="center"/>
              <w:rPr>
                <w:rFonts w:ascii="Times New Roman Regular" w:hAnsi="Times New Roman Regular" w:cs="Times New Roman Regular"/>
                <w:b/>
                <w:bCs/>
                <w:sz w:val="20"/>
                <w:szCs w:val="20"/>
              </w:rPr>
            </w:pPr>
            <w:r>
              <w:rPr>
                <w:rFonts w:ascii="Times New Roman Regular" w:hAnsi="Times New Roman Regular" w:cs="Times New Roman Regular"/>
                <w:b/>
                <w:bCs/>
                <w:sz w:val="20"/>
                <w:szCs w:val="20"/>
              </w:rPr>
              <w:t>Good</w:t>
            </w:r>
          </w:p>
        </w:tc>
        <w:tc>
          <w:tcPr>
            <w:tcW w:w="1537" w:type="dxa"/>
            <w:tcBorders>
              <w:left w:val="nil"/>
              <w:right w:val="nil"/>
            </w:tcBorders>
          </w:tcPr>
          <w:p w14:paraId="7C3EC079" w14:textId="77777777" w:rsidR="00A47DD3" w:rsidRDefault="00F04FB5">
            <w:pPr>
              <w:tabs>
                <w:tab w:val="left" w:pos="880"/>
              </w:tabs>
              <w:spacing w:beforeLines="50" w:before="120" w:after="0" w:line="260" w:lineRule="auto"/>
              <w:jc w:val="center"/>
              <w:rPr>
                <w:rFonts w:ascii="Times New Roman Regular" w:hAnsi="Times New Roman Regular" w:cs="Times New Roman Regular"/>
                <w:sz w:val="20"/>
                <w:szCs w:val="20"/>
              </w:rPr>
            </w:pPr>
            <w:r>
              <w:rPr>
                <w:rFonts w:ascii="Times New Roman Regular" w:hAnsi="Times New Roman Regular" w:cs="Times New Roman Regular"/>
                <w:sz w:val="20"/>
                <w:szCs w:val="20"/>
              </w:rPr>
              <w:t>0</w:t>
            </w:r>
          </w:p>
        </w:tc>
        <w:tc>
          <w:tcPr>
            <w:tcW w:w="1471" w:type="dxa"/>
            <w:tcBorders>
              <w:left w:val="nil"/>
              <w:right w:val="nil"/>
            </w:tcBorders>
          </w:tcPr>
          <w:p w14:paraId="0E6AEF0D" w14:textId="77777777" w:rsidR="00A47DD3" w:rsidRDefault="00F04FB5">
            <w:pPr>
              <w:tabs>
                <w:tab w:val="left" w:pos="880"/>
              </w:tabs>
              <w:spacing w:beforeLines="50" w:before="120" w:after="0" w:line="260" w:lineRule="auto"/>
              <w:jc w:val="center"/>
              <w:rPr>
                <w:rFonts w:ascii="Times New Roman Regular" w:hAnsi="Times New Roman Regular" w:cs="Times New Roman Regular"/>
                <w:sz w:val="20"/>
                <w:szCs w:val="20"/>
              </w:rPr>
            </w:pPr>
            <w:r>
              <w:rPr>
                <w:rFonts w:ascii="Times New Roman Regular" w:hAnsi="Times New Roman Regular" w:cs="Times New Roman Regular"/>
                <w:sz w:val="20"/>
                <w:szCs w:val="20"/>
              </w:rPr>
              <w:t>2</w:t>
            </w:r>
          </w:p>
        </w:tc>
        <w:tc>
          <w:tcPr>
            <w:tcW w:w="1665" w:type="dxa"/>
            <w:tcBorders>
              <w:left w:val="nil"/>
            </w:tcBorders>
          </w:tcPr>
          <w:p w14:paraId="37617A66" w14:textId="77777777" w:rsidR="00A47DD3" w:rsidRDefault="00F04FB5">
            <w:pPr>
              <w:tabs>
                <w:tab w:val="left" w:pos="880"/>
              </w:tabs>
              <w:spacing w:beforeLines="50" w:before="120" w:after="0" w:line="260" w:lineRule="auto"/>
              <w:jc w:val="center"/>
              <w:rPr>
                <w:rFonts w:ascii="Times New Roman Regular" w:hAnsi="Times New Roman Regular" w:cs="Times New Roman Regular"/>
                <w:sz w:val="20"/>
                <w:szCs w:val="20"/>
              </w:rPr>
            </w:pPr>
            <w:r>
              <w:rPr>
                <w:rFonts w:ascii="Times New Roman Regular" w:hAnsi="Times New Roman Regular" w:cs="Times New Roman Regular"/>
                <w:sz w:val="20"/>
                <w:szCs w:val="20"/>
              </w:rPr>
              <w:t>2</w:t>
            </w:r>
          </w:p>
        </w:tc>
      </w:tr>
      <w:tr w:rsidR="00A47DD3" w14:paraId="139C50B4" w14:textId="77777777">
        <w:tc>
          <w:tcPr>
            <w:tcW w:w="3191" w:type="dxa"/>
            <w:vMerge w:val="restart"/>
            <w:tcBorders>
              <w:right w:val="nil"/>
            </w:tcBorders>
          </w:tcPr>
          <w:p w14:paraId="184AFB2C" w14:textId="77777777" w:rsidR="00A47DD3" w:rsidRDefault="00F04FB5">
            <w:pPr>
              <w:tabs>
                <w:tab w:val="left" w:pos="880"/>
              </w:tabs>
              <w:spacing w:beforeLines="100" w:before="240" w:after="0" w:line="260" w:lineRule="auto"/>
              <w:jc w:val="center"/>
              <w:rPr>
                <w:rFonts w:ascii="Times New Roman Regular" w:hAnsi="Times New Roman Regular" w:cs="Times New Roman Regular"/>
                <w:b/>
                <w:bCs/>
                <w:sz w:val="20"/>
                <w:szCs w:val="20"/>
              </w:rPr>
            </w:pPr>
            <w:r>
              <w:rPr>
                <w:rFonts w:ascii="Times New Roman Regular" w:hAnsi="Times New Roman Regular" w:cs="Times New Roman Regular"/>
                <w:b/>
                <w:bCs/>
                <w:sz w:val="20"/>
                <w:szCs w:val="20"/>
              </w:rPr>
              <w:t>TOTAL</w:t>
            </w:r>
          </w:p>
        </w:tc>
        <w:tc>
          <w:tcPr>
            <w:tcW w:w="1537" w:type="dxa"/>
            <w:tcBorders>
              <w:left w:val="nil"/>
              <w:right w:val="nil"/>
            </w:tcBorders>
          </w:tcPr>
          <w:p w14:paraId="0F9274D8" w14:textId="77777777" w:rsidR="00A47DD3" w:rsidRDefault="00F04FB5">
            <w:pPr>
              <w:tabs>
                <w:tab w:val="left" w:pos="880"/>
              </w:tabs>
              <w:spacing w:beforeLines="50" w:before="120" w:after="0" w:line="260" w:lineRule="auto"/>
              <w:jc w:val="center"/>
              <w:rPr>
                <w:rFonts w:ascii="Times New Roman Regular" w:hAnsi="Times New Roman Regular" w:cs="Times New Roman Regular"/>
                <w:b/>
                <w:bCs/>
                <w:sz w:val="20"/>
                <w:szCs w:val="20"/>
              </w:rPr>
            </w:pPr>
            <w:r>
              <w:rPr>
                <w:rFonts w:ascii="Times New Roman Regular" w:hAnsi="Times New Roman Regular" w:cs="Times New Roman Regular"/>
                <w:b/>
                <w:bCs/>
                <w:sz w:val="20"/>
                <w:szCs w:val="20"/>
              </w:rPr>
              <w:t>0</w:t>
            </w:r>
          </w:p>
        </w:tc>
        <w:tc>
          <w:tcPr>
            <w:tcW w:w="1471" w:type="dxa"/>
            <w:tcBorders>
              <w:left w:val="nil"/>
              <w:right w:val="nil"/>
            </w:tcBorders>
          </w:tcPr>
          <w:p w14:paraId="00993C3E" w14:textId="77777777" w:rsidR="00A47DD3" w:rsidRDefault="00F04FB5">
            <w:pPr>
              <w:tabs>
                <w:tab w:val="left" w:pos="880"/>
              </w:tabs>
              <w:spacing w:beforeLines="50" w:before="120" w:after="0" w:line="260" w:lineRule="auto"/>
              <w:jc w:val="center"/>
              <w:rPr>
                <w:rFonts w:ascii="Times New Roman Regular" w:hAnsi="Times New Roman Regular" w:cs="Times New Roman Regular"/>
                <w:b/>
                <w:bCs/>
                <w:sz w:val="20"/>
                <w:szCs w:val="20"/>
              </w:rPr>
            </w:pPr>
            <w:r>
              <w:rPr>
                <w:rFonts w:ascii="Times New Roman Regular" w:hAnsi="Times New Roman Regular" w:cs="Times New Roman Regular"/>
                <w:b/>
                <w:bCs/>
                <w:sz w:val="20"/>
                <w:szCs w:val="20"/>
              </w:rPr>
              <w:t>13</w:t>
            </w:r>
          </w:p>
        </w:tc>
        <w:tc>
          <w:tcPr>
            <w:tcW w:w="1665" w:type="dxa"/>
            <w:tcBorders>
              <w:left w:val="nil"/>
            </w:tcBorders>
          </w:tcPr>
          <w:p w14:paraId="11A8CBBA" w14:textId="77777777" w:rsidR="00A47DD3" w:rsidRDefault="00F04FB5">
            <w:pPr>
              <w:tabs>
                <w:tab w:val="left" w:pos="880"/>
              </w:tabs>
              <w:spacing w:beforeLines="50" w:before="120" w:after="0" w:line="260" w:lineRule="auto"/>
              <w:jc w:val="center"/>
              <w:rPr>
                <w:rFonts w:ascii="Times New Roman Regular" w:hAnsi="Times New Roman Regular" w:cs="Times New Roman Regular"/>
                <w:b/>
                <w:bCs/>
                <w:sz w:val="20"/>
                <w:szCs w:val="20"/>
              </w:rPr>
            </w:pPr>
            <w:r>
              <w:rPr>
                <w:rFonts w:ascii="Times New Roman Regular" w:hAnsi="Times New Roman Regular" w:cs="Times New Roman Regular"/>
                <w:b/>
                <w:bCs/>
                <w:sz w:val="20"/>
                <w:szCs w:val="20"/>
              </w:rPr>
              <w:t>13</w:t>
            </w:r>
          </w:p>
        </w:tc>
      </w:tr>
      <w:tr w:rsidR="00A47DD3" w14:paraId="6C131083" w14:textId="77777777">
        <w:trPr>
          <w:trHeight w:val="325"/>
        </w:trPr>
        <w:tc>
          <w:tcPr>
            <w:tcW w:w="3191" w:type="dxa"/>
            <w:vMerge/>
            <w:tcBorders>
              <w:right w:val="nil"/>
            </w:tcBorders>
          </w:tcPr>
          <w:p w14:paraId="6ED0B5DC" w14:textId="77777777" w:rsidR="00A47DD3" w:rsidRDefault="00A47DD3">
            <w:pPr>
              <w:tabs>
                <w:tab w:val="left" w:pos="880"/>
              </w:tabs>
              <w:spacing w:beforeLines="50" w:before="120" w:after="0" w:line="260" w:lineRule="auto"/>
              <w:jc w:val="center"/>
              <w:rPr>
                <w:rFonts w:ascii="Times New Roman Regular" w:hAnsi="Times New Roman Regular" w:cs="Times New Roman Regular"/>
                <w:b/>
                <w:bCs/>
                <w:sz w:val="20"/>
                <w:szCs w:val="20"/>
              </w:rPr>
            </w:pPr>
          </w:p>
        </w:tc>
        <w:tc>
          <w:tcPr>
            <w:tcW w:w="4673" w:type="dxa"/>
            <w:gridSpan w:val="3"/>
            <w:tcBorders>
              <w:left w:val="nil"/>
            </w:tcBorders>
          </w:tcPr>
          <w:p w14:paraId="57DD9E69" w14:textId="77777777" w:rsidR="00A47DD3" w:rsidRDefault="00F04FB5">
            <w:pPr>
              <w:tabs>
                <w:tab w:val="left" w:pos="880"/>
              </w:tabs>
              <w:spacing w:beforeLines="50" w:before="120" w:after="0" w:line="260" w:lineRule="auto"/>
              <w:jc w:val="both"/>
              <w:rPr>
                <w:rFonts w:ascii="Times New Roman Regular" w:hAnsi="Times New Roman Regular" w:cs="Times New Roman Regular"/>
                <w:b/>
                <w:bCs/>
                <w:sz w:val="20"/>
                <w:szCs w:val="20"/>
              </w:rPr>
            </w:pPr>
            <w:r>
              <w:rPr>
                <w:rFonts w:ascii="Times New Roman Regular" w:hAnsi="Times New Roman Regular" w:cs="Times New Roman Regular"/>
                <w:b/>
                <w:bCs/>
                <w:sz w:val="20"/>
                <w:szCs w:val="20"/>
              </w:rPr>
              <w:t xml:space="preserve">                                     </w:t>
            </w:r>
            <w:r>
              <w:rPr>
                <w:rFonts w:ascii="Times New Roman Regular" w:hAnsi="Times New Roman Regular" w:cs="Times New Roman Regular"/>
                <w:b/>
                <w:bCs/>
                <w:sz w:val="20"/>
                <w:szCs w:val="20"/>
              </w:rPr>
              <w:t xml:space="preserve">  </w:t>
            </w:r>
            <w:r>
              <w:rPr>
                <w:rFonts w:ascii="Times New Roman Regular" w:hAnsi="Times New Roman Regular" w:cs="Times New Roman Regular"/>
                <w:b/>
                <w:bCs/>
                <w:sz w:val="20"/>
                <w:szCs w:val="20"/>
              </w:rPr>
              <w:t xml:space="preserve">  26</w:t>
            </w:r>
          </w:p>
        </w:tc>
      </w:tr>
    </w:tbl>
    <w:p w14:paraId="326D60C9" w14:textId="77777777" w:rsidR="00A47DD3" w:rsidRDefault="00A47DD3">
      <w:pPr>
        <w:spacing w:line="240" w:lineRule="auto"/>
        <w:jc w:val="both"/>
        <w:rPr>
          <w:rFonts w:ascii="Times New Roman" w:hAnsi="Times New Roman" w:cs="Times New Roman"/>
          <w:sz w:val="24"/>
          <w:szCs w:val="24"/>
        </w:rPr>
      </w:pPr>
    </w:p>
    <w:p w14:paraId="2926C7C7" w14:textId="77777777" w:rsidR="00A47DD3" w:rsidRDefault="00F04FB5">
      <w:pPr>
        <w:tabs>
          <w:tab w:val="left" w:pos="440"/>
          <w:tab w:val="right" w:leader="dot" w:pos="7370"/>
          <w:tab w:val="right" w:leader="dot" w:pos="7937"/>
          <w:tab w:val="right" w:leader="dot" w:pos="8505"/>
        </w:tabs>
        <w:spacing w:line="240" w:lineRule="auto"/>
        <w:ind w:rightChars="-48" w:right="-106" w:firstLineChars="200" w:firstLine="480"/>
        <w:jc w:val="both"/>
        <w:rPr>
          <w:rFonts w:ascii="Times New Roman Regular" w:hAnsi="Times New Roman Regular" w:cs="Times New Roman Regular"/>
          <w:sz w:val="24"/>
          <w:szCs w:val="24"/>
        </w:rPr>
      </w:pPr>
      <w:r>
        <w:rPr>
          <w:rFonts w:ascii="Times New Roman Regular" w:hAnsi="Times New Roman Regular" w:cs="Times New Roman Regular"/>
          <w:sz w:val="24"/>
          <w:szCs w:val="24"/>
        </w:rPr>
        <w:t>As shown in Table</w:t>
      </w:r>
      <w:r>
        <w:rPr>
          <w:rFonts w:ascii="Times New Roman Regular" w:hAnsi="Times New Roman Regular" w:cs="Times New Roman Regular"/>
          <w:sz w:val="24"/>
          <w:szCs w:val="24"/>
        </w:rPr>
        <w:t xml:space="preserve"> 2</w:t>
      </w:r>
      <w:r>
        <w:rPr>
          <w:rFonts w:ascii="Times New Roman Regular" w:hAnsi="Times New Roman Regular" w:cs="Times New Roman Regular"/>
          <w:sz w:val="24"/>
          <w:szCs w:val="24"/>
        </w:rPr>
        <w:t xml:space="preserve">, exactly half of the students (13 out of 26) fell into the same category for both understanding and </w:t>
      </w:r>
      <w:r>
        <w:rPr>
          <w:rFonts w:ascii="Times New Roman Regular" w:hAnsi="Times New Roman Regular" w:cs="Times New Roman Regular"/>
          <w:sz w:val="24"/>
          <w:szCs w:val="24"/>
        </w:rPr>
        <w:t>performance, while the other half were placed in different categories. This distribution raises the question of whether an association exists between students’ understanding of vowel diphthongs and their pronunciation accuracy. To further examine this tend</w:t>
      </w:r>
      <w:r>
        <w:rPr>
          <w:rFonts w:ascii="Times New Roman Regular" w:hAnsi="Times New Roman Regular" w:cs="Times New Roman Regular"/>
          <w:sz w:val="24"/>
          <w:szCs w:val="24"/>
        </w:rPr>
        <w:t>ency, a Chi-Square Association Test was conducted. The result is presented in the following table.</w:t>
      </w:r>
    </w:p>
    <w:p w14:paraId="4FCADF14" w14:textId="77777777" w:rsidR="00A47DD3" w:rsidRDefault="00F04FB5">
      <w:pPr>
        <w:spacing w:before="120" w:afterLines="50" w:after="120"/>
        <w:jc w:val="center"/>
        <w:rPr>
          <w:rFonts w:ascii="Times New Roman Regular" w:hAnsi="Times New Roman Regular" w:cs="Times New Roman Regular"/>
          <w:sz w:val="24"/>
          <w:szCs w:val="24"/>
        </w:rPr>
      </w:pPr>
      <w:r>
        <w:rPr>
          <w:rFonts w:ascii="Times New Roman" w:hAnsi="Times New Roman" w:cs="Times New Roman"/>
        </w:rPr>
        <w:t xml:space="preserve">Table </w:t>
      </w:r>
      <w:r>
        <w:rPr>
          <w:rFonts w:ascii="Times New Roman" w:hAnsi="Times New Roman" w:cs="Times New Roman"/>
        </w:rPr>
        <w:t xml:space="preserve">3. </w:t>
      </w:r>
      <w:r>
        <w:rPr>
          <w:rFonts w:ascii="Times New Roman" w:hAnsi="Times New Roman" w:cs="Times New Roman"/>
        </w:rPr>
        <w:t xml:space="preserve"> Chi-Square Association Test Results (SPSS output, 2025)</w:t>
      </w:r>
    </w:p>
    <w:tbl>
      <w:tblPr>
        <w:tblStyle w:val="TableGrid"/>
        <w:tblW w:w="7886" w:type="dxa"/>
        <w:tblInd w:w="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6"/>
        <w:gridCol w:w="1543"/>
        <w:gridCol w:w="1271"/>
        <w:gridCol w:w="2786"/>
      </w:tblGrid>
      <w:tr w:rsidR="00A47DD3" w14:paraId="1AB7E9AB" w14:textId="77777777">
        <w:tc>
          <w:tcPr>
            <w:tcW w:w="7886" w:type="dxa"/>
            <w:gridSpan w:val="4"/>
          </w:tcPr>
          <w:p w14:paraId="34DCEE8A" w14:textId="77777777" w:rsidR="00A47DD3" w:rsidRDefault="00F04FB5">
            <w:pPr>
              <w:spacing w:after="0" w:line="360" w:lineRule="auto"/>
              <w:jc w:val="center"/>
              <w:rPr>
                <w:rFonts w:ascii="Times New Roman Regular" w:hAnsi="Times New Roman Regular" w:cs="Times New Roman Regular"/>
                <w:sz w:val="20"/>
                <w:szCs w:val="20"/>
              </w:rPr>
            </w:pPr>
            <w:r>
              <w:rPr>
                <w:rFonts w:ascii="Times New Roman Regular" w:hAnsi="Times New Roman Regular" w:cs="Times New Roman Regular"/>
                <w:b/>
                <w:bCs/>
                <w:sz w:val="20"/>
                <w:szCs w:val="20"/>
              </w:rPr>
              <w:t>Chi-Square Tests</w:t>
            </w:r>
          </w:p>
        </w:tc>
      </w:tr>
      <w:tr w:rsidR="00A47DD3" w14:paraId="6C321CE0" w14:textId="77777777">
        <w:tc>
          <w:tcPr>
            <w:tcW w:w="2286" w:type="dxa"/>
            <w:tcBorders>
              <w:right w:val="nil"/>
            </w:tcBorders>
          </w:tcPr>
          <w:p w14:paraId="1C8C0E2E" w14:textId="77777777" w:rsidR="00A47DD3" w:rsidRDefault="00A47DD3">
            <w:pPr>
              <w:spacing w:after="0" w:line="360" w:lineRule="auto"/>
              <w:jc w:val="both"/>
              <w:rPr>
                <w:rFonts w:ascii="Times New Roman Regular" w:hAnsi="Times New Roman Regular" w:cs="Times New Roman Regular"/>
                <w:sz w:val="20"/>
                <w:szCs w:val="20"/>
              </w:rPr>
            </w:pPr>
          </w:p>
        </w:tc>
        <w:tc>
          <w:tcPr>
            <w:tcW w:w="1543" w:type="dxa"/>
            <w:tcBorders>
              <w:left w:val="nil"/>
              <w:right w:val="nil"/>
            </w:tcBorders>
          </w:tcPr>
          <w:p w14:paraId="4408B202" w14:textId="77777777" w:rsidR="00A47DD3" w:rsidRDefault="00F04FB5">
            <w:pPr>
              <w:spacing w:after="0" w:line="360" w:lineRule="auto"/>
              <w:jc w:val="center"/>
              <w:rPr>
                <w:rFonts w:ascii="Times New Roman Regular" w:hAnsi="Times New Roman Regular" w:cs="Times New Roman Regular"/>
                <w:b/>
                <w:bCs/>
                <w:sz w:val="20"/>
                <w:szCs w:val="20"/>
              </w:rPr>
            </w:pPr>
            <w:r>
              <w:rPr>
                <w:rFonts w:ascii="Times New Roman Regular" w:hAnsi="Times New Roman Regular" w:cs="Times New Roman Regular"/>
                <w:b/>
                <w:bCs/>
                <w:sz w:val="20"/>
                <w:szCs w:val="20"/>
              </w:rPr>
              <w:t>Value</w:t>
            </w:r>
          </w:p>
        </w:tc>
        <w:tc>
          <w:tcPr>
            <w:tcW w:w="1271" w:type="dxa"/>
            <w:tcBorders>
              <w:left w:val="nil"/>
              <w:right w:val="nil"/>
            </w:tcBorders>
          </w:tcPr>
          <w:p w14:paraId="1CA1D284" w14:textId="77777777" w:rsidR="00A47DD3" w:rsidRDefault="00F04FB5">
            <w:pPr>
              <w:spacing w:after="0" w:line="360" w:lineRule="auto"/>
              <w:jc w:val="center"/>
              <w:rPr>
                <w:rFonts w:ascii="Times New Roman Regular" w:hAnsi="Times New Roman Regular" w:cs="Times New Roman Regular"/>
                <w:b/>
                <w:bCs/>
                <w:sz w:val="20"/>
                <w:szCs w:val="20"/>
              </w:rPr>
            </w:pPr>
            <w:r>
              <w:rPr>
                <w:rFonts w:ascii="Times New Roman Regular" w:hAnsi="Times New Roman Regular" w:cs="Times New Roman Regular"/>
                <w:b/>
                <w:bCs/>
                <w:sz w:val="20"/>
                <w:szCs w:val="20"/>
              </w:rPr>
              <w:t>df</w:t>
            </w:r>
          </w:p>
        </w:tc>
        <w:tc>
          <w:tcPr>
            <w:tcW w:w="2786" w:type="dxa"/>
            <w:tcBorders>
              <w:left w:val="nil"/>
            </w:tcBorders>
          </w:tcPr>
          <w:p w14:paraId="0715D8FD" w14:textId="77777777" w:rsidR="00A47DD3" w:rsidRDefault="00F04FB5">
            <w:pPr>
              <w:spacing w:after="0" w:line="360" w:lineRule="auto"/>
              <w:jc w:val="center"/>
              <w:rPr>
                <w:rFonts w:ascii="Times New Roman Regular" w:hAnsi="Times New Roman Regular" w:cs="Times New Roman Regular"/>
                <w:b/>
                <w:bCs/>
                <w:sz w:val="20"/>
                <w:szCs w:val="20"/>
              </w:rPr>
            </w:pPr>
            <w:r>
              <w:rPr>
                <w:rFonts w:ascii="Times New Roman Regular" w:hAnsi="Times New Roman Regular" w:cs="Times New Roman Regular"/>
                <w:b/>
                <w:bCs/>
                <w:sz w:val="20"/>
                <w:szCs w:val="20"/>
              </w:rPr>
              <w:t>Asymp.Sig. (2-sided)</w:t>
            </w:r>
          </w:p>
        </w:tc>
      </w:tr>
      <w:tr w:rsidR="00A47DD3" w14:paraId="4A4338B5" w14:textId="77777777">
        <w:tc>
          <w:tcPr>
            <w:tcW w:w="2286" w:type="dxa"/>
            <w:tcBorders>
              <w:right w:val="nil"/>
            </w:tcBorders>
          </w:tcPr>
          <w:p w14:paraId="598ABBB4" w14:textId="77777777" w:rsidR="00A47DD3" w:rsidRDefault="00F04FB5">
            <w:pPr>
              <w:spacing w:after="0" w:line="360" w:lineRule="auto"/>
              <w:jc w:val="both"/>
              <w:rPr>
                <w:rFonts w:ascii="Times New Roman Regular" w:hAnsi="Times New Roman Regular" w:cs="Times New Roman Regular"/>
                <w:b/>
                <w:bCs/>
                <w:sz w:val="20"/>
                <w:szCs w:val="20"/>
              </w:rPr>
            </w:pPr>
            <w:r>
              <w:rPr>
                <w:rFonts w:ascii="Times New Roman Regular" w:hAnsi="Times New Roman Regular" w:cs="Times New Roman Regular"/>
                <w:b/>
                <w:bCs/>
                <w:sz w:val="20"/>
                <w:szCs w:val="20"/>
              </w:rPr>
              <w:t>Pearson Chi-Square</w:t>
            </w:r>
          </w:p>
        </w:tc>
        <w:tc>
          <w:tcPr>
            <w:tcW w:w="1543" w:type="dxa"/>
            <w:tcBorders>
              <w:left w:val="nil"/>
              <w:right w:val="nil"/>
            </w:tcBorders>
          </w:tcPr>
          <w:p w14:paraId="3A4FCBD2" w14:textId="77777777" w:rsidR="00A47DD3" w:rsidRDefault="00F04FB5">
            <w:pPr>
              <w:spacing w:after="0" w:line="360" w:lineRule="auto"/>
              <w:jc w:val="center"/>
              <w:rPr>
                <w:rFonts w:ascii="Times New Roman Regular" w:hAnsi="Times New Roman Regular" w:cs="Times New Roman Regular"/>
                <w:sz w:val="20"/>
                <w:szCs w:val="20"/>
              </w:rPr>
            </w:pPr>
            <w:r>
              <w:rPr>
                <w:rFonts w:ascii="Times New Roman Regular" w:hAnsi="Times New Roman Regular" w:cs="Times New Roman Regular"/>
                <w:sz w:val="20"/>
                <w:szCs w:val="20"/>
              </w:rPr>
              <w:t>1.048</w:t>
            </w:r>
            <w:r>
              <w:rPr>
                <w:rFonts w:ascii="Times New Roman Regular" w:hAnsi="Times New Roman Regular" w:cs="Times New Roman Regular"/>
                <w:sz w:val="20"/>
                <w:szCs w:val="20"/>
                <w:vertAlign w:val="superscript"/>
              </w:rPr>
              <w:t>a</w:t>
            </w:r>
          </w:p>
        </w:tc>
        <w:tc>
          <w:tcPr>
            <w:tcW w:w="1271" w:type="dxa"/>
            <w:tcBorders>
              <w:left w:val="nil"/>
              <w:right w:val="nil"/>
            </w:tcBorders>
          </w:tcPr>
          <w:p w14:paraId="224B128E" w14:textId="77777777" w:rsidR="00A47DD3" w:rsidRDefault="00F04FB5">
            <w:pPr>
              <w:spacing w:after="0" w:line="360" w:lineRule="auto"/>
              <w:jc w:val="center"/>
              <w:rPr>
                <w:rFonts w:ascii="Times New Roman Regular" w:hAnsi="Times New Roman Regular" w:cs="Times New Roman Regular"/>
                <w:sz w:val="20"/>
                <w:szCs w:val="20"/>
              </w:rPr>
            </w:pPr>
            <w:r>
              <w:rPr>
                <w:rFonts w:ascii="Times New Roman Regular" w:hAnsi="Times New Roman Regular" w:cs="Times New Roman Regular"/>
                <w:sz w:val="20"/>
                <w:szCs w:val="20"/>
              </w:rPr>
              <w:t>2</w:t>
            </w:r>
          </w:p>
        </w:tc>
        <w:tc>
          <w:tcPr>
            <w:tcW w:w="2786" w:type="dxa"/>
            <w:tcBorders>
              <w:left w:val="nil"/>
            </w:tcBorders>
          </w:tcPr>
          <w:p w14:paraId="35138E34" w14:textId="77777777" w:rsidR="00A47DD3" w:rsidRDefault="00F04FB5">
            <w:pPr>
              <w:spacing w:after="0" w:line="360" w:lineRule="auto"/>
              <w:jc w:val="center"/>
              <w:rPr>
                <w:rFonts w:ascii="Times New Roman Regular" w:hAnsi="Times New Roman Regular" w:cs="Times New Roman Regular"/>
                <w:sz w:val="20"/>
                <w:szCs w:val="20"/>
              </w:rPr>
            </w:pPr>
            <w:r>
              <w:rPr>
                <w:rFonts w:ascii="Times New Roman Regular" w:hAnsi="Times New Roman Regular" w:cs="Times New Roman Regular"/>
                <w:sz w:val="20"/>
                <w:szCs w:val="20"/>
              </w:rPr>
              <w:t>.592</w:t>
            </w:r>
          </w:p>
        </w:tc>
      </w:tr>
      <w:tr w:rsidR="00A47DD3" w14:paraId="400B99A7" w14:textId="77777777">
        <w:tc>
          <w:tcPr>
            <w:tcW w:w="2286" w:type="dxa"/>
            <w:tcBorders>
              <w:right w:val="nil"/>
            </w:tcBorders>
          </w:tcPr>
          <w:p w14:paraId="0FE34D1A" w14:textId="77777777" w:rsidR="00A47DD3" w:rsidRDefault="00F04FB5">
            <w:pPr>
              <w:spacing w:after="0" w:line="360" w:lineRule="auto"/>
              <w:jc w:val="both"/>
              <w:rPr>
                <w:rFonts w:ascii="Times New Roman Regular" w:hAnsi="Times New Roman Regular" w:cs="Times New Roman Regular"/>
                <w:b/>
                <w:bCs/>
                <w:sz w:val="20"/>
                <w:szCs w:val="20"/>
              </w:rPr>
            </w:pPr>
            <w:r>
              <w:rPr>
                <w:rFonts w:ascii="Times New Roman Regular" w:hAnsi="Times New Roman Regular" w:cs="Times New Roman Regular"/>
                <w:b/>
                <w:bCs/>
                <w:sz w:val="20"/>
                <w:szCs w:val="20"/>
              </w:rPr>
              <w:t>Likelihood Ratio</w:t>
            </w:r>
          </w:p>
        </w:tc>
        <w:tc>
          <w:tcPr>
            <w:tcW w:w="1543" w:type="dxa"/>
            <w:tcBorders>
              <w:left w:val="nil"/>
              <w:right w:val="nil"/>
            </w:tcBorders>
          </w:tcPr>
          <w:p w14:paraId="1E118DA7" w14:textId="77777777" w:rsidR="00A47DD3" w:rsidRDefault="00F04FB5">
            <w:pPr>
              <w:spacing w:after="0" w:line="360" w:lineRule="auto"/>
              <w:jc w:val="center"/>
              <w:rPr>
                <w:rFonts w:ascii="Times New Roman Regular" w:hAnsi="Times New Roman Regular" w:cs="Times New Roman Regular"/>
                <w:sz w:val="20"/>
                <w:szCs w:val="20"/>
              </w:rPr>
            </w:pPr>
            <w:r>
              <w:rPr>
                <w:rFonts w:ascii="Times New Roman Regular" w:hAnsi="Times New Roman Regular" w:cs="Times New Roman Regular"/>
                <w:sz w:val="20"/>
                <w:szCs w:val="20"/>
              </w:rPr>
              <w:t>1.434</w:t>
            </w:r>
          </w:p>
        </w:tc>
        <w:tc>
          <w:tcPr>
            <w:tcW w:w="1271" w:type="dxa"/>
            <w:tcBorders>
              <w:left w:val="nil"/>
              <w:right w:val="nil"/>
            </w:tcBorders>
          </w:tcPr>
          <w:p w14:paraId="227403C8" w14:textId="77777777" w:rsidR="00A47DD3" w:rsidRDefault="00F04FB5">
            <w:pPr>
              <w:spacing w:after="0" w:line="360" w:lineRule="auto"/>
              <w:jc w:val="center"/>
              <w:rPr>
                <w:rFonts w:ascii="Times New Roman Regular" w:hAnsi="Times New Roman Regular" w:cs="Times New Roman Regular"/>
                <w:sz w:val="20"/>
                <w:szCs w:val="20"/>
              </w:rPr>
            </w:pPr>
            <w:r>
              <w:rPr>
                <w:rFonts w:ascii="Times New Roman Regular" w:hAnsi="Times New Roman Regular" w:cs="Times New Roman Regular"/>
                <w:sz w:val="20"/>
                <w:szCs w:val="20"/>
              </w:rPr>
              <w:t>2</w:t>
            </w:r>
          </w:p>
        </w:tc>
        <w:tc>
          <w:tcPr>
            <w:tcW w:w="2786" w:type="dxa"/>
            <w:tcBorders>
              <w:left w:val="nil"/>
            </w:tcBorders>
          </w:tcPr>
          <w:p w14:paraId="57C1C767" w14:textId="77777777" w:rsidR="00A47DD3" w:rsidRDefault="00F04FB5">
            <w:pPr>
              <w:spacing w:after="0" w:line="360" w:lineRule="auto"/>
              <w:jc w:val="center"/>
              <w:rPr>
                <w:rFonts w:ascii="Times New Roman Regular" w:hAnsi="Times New Roman Regular" w:cs="Times New Roman Regular"/>
                <w:sz w:val="20"/>
                <w:szCs w:val="20"/>
              </w:rPr>
            </w:pPr>
            <w:r>
              <w:rPr>
                <w:rFonts w:ascii="Times New Roman Regular" w:hAnsi="Times New Roman Regular" w:cs="Times New Roman Regular"/>
                <w:sz w:val="20"/>
                <w:szCs w:val="20"/>
              </w:rPr>
              <w:t>.488</w:t>
            </w:r>
          </w:p>
        </w:tc>
      </w:tr>
      <w:tr w:rsidR="00A47DD3" w14:paraId="0C937F60" w14:textId="77777777">
        <w:tc>
          <w:tcPr>
            <w:tcW w:w="2286" w:type="dxa"/>
            <w:tcBorders>
              <w:right w:val="nil"/>
            </w:tcBorders>
          </w:tcPr>
          <w:p w14:paraId="18127057" w14:textId="77777777" w:rsidR="00A47DD3" w:rsidRDefault="00F04FB5">
            <w:pPr>
              <w:spacing w:after="0" w:line="360" w:lineRule="auto"/>
              <w:jc w:val="both"/>
              <w:rPr>
                <w:rFonts w:ascii="Times New Roman Regular" w:hAnsi="Times New Roman Regular" w:cs="Times New Roman Regular"/>
                <w:b/>
                <w:bCs/>
                <w:sz w:val="20"/>
                <w:szCs w:val="20"/>
              </w:rPr>
            </w:pPr>
            <w:r>
              <w:rPr>
                <w:rFonts w:ascii="Times New Roman Regular" w:hAnsi="Times New Roman Regular" w:cs="Times New Roman Regular"/>
                <w:b/>
                <w:bCs/>
                <w:sz w:val="20"/>
                <w:szCs w:val="20"/>
              </w:rPr>
              <w:t>N of Valid Cases</w:t>
            </w:r>
          </w:p>
        </w:tc>
        <w:tc>
          <w:tcPr>
            <w:tcW w:w="1543" w:type="dxa"/>
            <w:tcBorders>
              <w:left w:val="nil"/>
              <w:right w:val="nil"/>
            </w:tcBorders>
          </w:tcPr>
          <w:p w14:paraId="166C76D3" w14:textId="77777777" w:rsidR="00A47DD3" w:rsidRDefault="00F04FB5">
            <w:pPr>
              <w:spacing w:after="0" w:line="360" w:lineRule="auto"/>
              <w:jc w:val="center"/>
              <w:rPr>
                <w:rFonts w:ascii="Times New Roman Regular" w:hAnsi="Times New Roman Regular" w:cs="Times New Roman Regular"/>
                <w:sz w:val="20"/>
                <w:szCs w:val="20"/>
              </w:rPr>
            </w:pPr>
            <w:r>
              <w:rPr>
                <w:rFonts w:ascii="Times New Roman Regular" w:hAnsi="Times New Roman Regular" w:cs="Times New Roman Regular"/>
                <w:sz w:val="20"/>
                <w:szCs w:val="20"/>
              </w:rPr>
              <w:t>26</w:t>
            </w:r>
          </w:p>
        </w:tc>
        <w:tc>
          <w:tcPr>
            <w:tcW w:w="1271" w:type="dxa"/>
            <w:tcBorders>
              <w:left w:val="nil"/>
              <w:right w:val="nil"/>
            </w:tcBorders>
          </w:tcPr>
          <w:p w14:paraId="5A173F7D" w14:textId="77777777" w:rsidR="00A47DD3" w:rsidRDefault="00A47DD3">
            <w:pPr>
              <w:spacing w:after="0" w:line="360" w:lineRule="auto"/>
              <w:jc w:val="center"/>
              <w:rPr>
                <w:rFonts w:ascii="Times New Roman Regular" w:hAnsi="Times New Roman Regular" w:cs="Times New Roman Regular"/>
                <w:sz w:val="20"/>
                <w:szCs w:val="20"/>
              </w:rPr>
            </w:pPr>
          </w:p>
        </w:tc>
        <w:tc>
          <w:tcPr>
            <w:tcW w:w="2786" w:type="dxa"/>
            <w:tcBorders>
              <w:left w:val="nil"/>
            </w:tcBorders>
          </w:tcPr>
          <w:p w14:paraId="48EB7926" w14:textId="77777777" w:rsidR="00A47DD3" w:rsidRDefault="00A47DD3">
            <w:pPr>
              <w:spacing w:after="0" w:line="360" w:lineRule="auto"/>
              <w:jc w:val="center"/>
              <w:rPr>
                <w:rFonts w:ascii="Times New Roman Regular" w:hAnsi="Times New Roman Regular" w:cs="Times New Roman Regular"/>
                <w:sz w:val="20"/>
                <w:szCs w:val="20"/>
              </w:rPr>
            </w:pPr>
          </w:p>
        </w:tc>
      </w:tr>
    </w:tbl>
    <w:p w14:paraId="118A2DD1" w14:textId="77777777" w:rsidR="00A47DD3" w:rsidRDefault="00F04FB5">
      <w:pPr>
        <w:pStyle w:val="ListParagraph"/>
        <w:widowControl w:val="0"/>
        <w:tabs>
          <w:tab w:val="left" w:pos="880"/>
        </w:tabs>
        <w:autoSpaceDE w:val="0"/>
        <w:autoSpaceDN w:val="0"/>
        <w:spacing w:beforeLines="100" w:before="240" w:line="240" w:lineRule="auto"/>
        <w:ind w:left="0" w:right="-158" w:firstLineChars="200" w:firstLine="480"/>
        <w:jc w:val="both"/>
        <w:rPr>
          <w:rFonts w:ascii="Times New Roman Regular" w:hAnsi="Times New Roman Regular" w:cs="Times New Roman Regular"/>
          <w:sz w:val="24"/>
          <w:szCs w:val="24"/>
        </w:rPr>
      </w:pPr>
      <w:r>
        <w:rPr>
          <w:rFonts w:ascii="Times New Roman Regular" w:hAnsi="Times New Roman Regular" w:cs="Times New Roman Regular"/>
          <w:sz w:val="24"/>
          <w:szCs w:val="24"/>
        </w:rPr>
        <w:t xml:space="preserve">Based on Table </w:t>
      </w:r>
      <w:r>
        <w:rPr>
          <w:rFonts w:ascii="Times New Roman Regular" w:hAnsi="Times New Roman Regular" w:cs="Times New Roman Regular"/>
          <w:sz w:val="24"/>
          <w:szCs w:val="24"/>
        </w:rPr>
        <w:t>3</w:t>
      </w:r>
      <w:r>
        <w:rPr>
          <w:rFonts w:ascii="Times New Roman Regular" w:hAnsi="Times New Roman Regular" w:cs="Times New Roman Regular"/>
          <w:sz w:val="24"/>
          <w:szCs w:val="24"/>
        </w:rPr>
        <w:t xml:space="preserve">, the Pearson Chi-Square significance value is 0.592, which is greater than the alpha level of 0.05. Therefore, it can be concluded that there is no statistically significant </w:t>
      </w:r>
      <w:r>
        <w:rPr>
          <w:rFonts w:ascii="Times New Roman Regular" w:hAnsi="Times New Roman Regular" w:cs="Times New Roman Regular"/>
          <w:sz w:val="24"/>
          <w:szCs w:val="24"/>
        </w:rPr>
        <w:t>association between the students’ prior knowledge of vowel diphthongs and their pronunciation accuracy.  This finding indicates that a higher level of understanding does not necessarily correspond to higher pronunciation accuracy. Several students with mod</w:t>
      </w:r>
      <w:r>
        <w:rPr>
          <w:rFonts w:ascii="Times New Roman Regular" w:hAnsi="Times New Roman Regular" w:cs="Times New Roman Regular"/>
          <w:sz w:val="24"/>
          <w:szCs w:val="24"/>
        </w:rPr>
        <w:t xml:space="preserve">erate understanding achieved good performance, while others with good understanding only performed moderately. Thus, within the context of this study, it can be concluded that no significant association was </w:t>
      </w:r>
      <w:r>
        <w:rPr>
          <w:rFonts w:ascii="Times New Roman Regular" w:hAnsi="Times New Roman Regular" w:cs="Times New Roman Regular"/>
          <w:sz w:val="24"/>
          <w:szCs w:val="24"/>
        </w:rPr>
        <w:lastRenderedPageBreak/>
        <w:t>found between theoretical understanding and actua</w:t>
      </w:r>
      <w:r>
        <w:rPr>
          <w:rFonts w:ascii="Times New Roman Regular" w:hAnsi="Times New Roman Regular" w:cs="Times New Roman Regular"/>
          <w:sz w:val="24"/>
          <w:szCs w:val="24"/>
        </w:rPr>
        <w:t>l pronunciation accuracy.</w:t>
      </w:r>
    </w:p>
    <w:p w14:paraId="7D0C5748" w14:textId="77777777" w:rsidR="00A47DD3" w:rsidRDefault="00A47DD3">
      <w:pPr>
        <w:pStyle w:val="ListParagraph"/>
        <w:widowControl w:val="0"/>
        <w:tabs>
          <w:tab w:val="left" w:pos="880"/>
        </w:tabs>
        <w:autoSpaceDE w:val="0"/>
        <w:autoSpaceDN w:val="0"/>
        <w:spacing w:beforeLines="100" w:before="240" w:line="240" w:lineRule="auto"/>
        <w:ind w:left="0" w:right="-158" w:firstLineChars="200" w:firstLine="480"/>
        <w:jc w:val="both"/>
        <w:rPr>
          <w:rFonts w:ascii="Times New Roman Regular" w:hAnsi="Times New Roman Regular" w:cs="Times New Roman Regular"/>
          <w:sz w:val="24"/>
          <w:szCs w:val="24"/>
        </w:rPr>
      </w:pPr>
    </w:p>
    <w:p w14:paraId="2BF46B35" w14:textId="77777777" w:rsidR="00A47DD3" w:rsidRDefault="00F04FB5">
      <w:pPr>
        <w:numPr>
          <w:ilvl w:val="0"/>
          <w:numId w:val="2"/>
        </w:numPr>
        <w:rPr>
          <w:rFonts w:ascii="TimesNewRomanPS-BoldMT" w:eastAsia="TimesNewRomanPS-BoldMT" w:hAnsi="TimesNewRomanPS-BoldMT" w:cs="TimesNewRomanPS-BoldMT"/>
          <w:b/>
          <w:bCs/>
          <w:color w:val="000000"/>
          <w:sz w:val="24"/>
          <w:szCs w:val="24"/>
          <w:lang w:eastAsia="zh-CN" w:bidi="ar"/>
        </w:rPr>
      </w:pPr>
      <w:bookmarkStart w:id="1" w:name="_GoBack"/>
      <w:bookmarkEnd w:id="1"/>
      <w:r>
        <w:rPr>
          <w:rFonts w:ascii="TimesNewRomanPS-BoldMT" w:eastAsia="TimesNewRomanPS-BoldMT" w:hAnsi="TimesNewRomanPS-BoldMT" w:cs="TimesNewRomanPS-BoldMT"/>
          <w:b/>
          <w:bCs/>
          <w:color w:val="000000"/>
          <w:sz w:val="24"/>
          <w:szCs w:val="24"/>
          <w:lang w:eastAsia="zh-CN" w:bidi="ar"/>
        </w:rPr>
        <w:t>Discussion</w:t>
      </w:r>
    </w:p>
    <w:p w14:paraId="5AC1A838" w14:textId="77777777" w:rsidR="00A47DD3" w:rsidRDefault="00F04FB5">
      <w:pPr>
        <w:spacing w:after="120" w:line="260" w:lineRule="auto"/>
        <w:ind w:firstLineChars="200" w:firstLine="480"/>
        <w:jc w:val="both"/>
        <w:rPr>
          <w:rFonts w:ascii="Times New Roman" w:eastAsia="TimesNewRomanPS-BoldMT" w:hAnsi="Times New Roman" w:cs="Times New Roman"/>
          <w:color w:val="000000"/>
          <w:sz w:val="24"/>
          <w:szCs w:val="24"/>
          <w:lang w:eastAsia="zh-CN"/>
        </w:rPr>
      </w:pPr>
      <w:r>
        <w:rPr>
          <w:rFonts w:ascii="Times New Roman" w:eastAsia="TimesNewRomanPS-BoldMT" w:hAnsi="Times New Roman"/>
          <w:color w:val="000000"/>
          <w:sz w:val="24"/>
          <w:szCs w:val="24"/>
          <w:lang w:eastAsia="zh-CN"/>
        </w:rPr>
        <w:t xml:space="preserve">The findings of this study revealed that students produced various types of phonological errors in pronouncing English vowel diphthongs, categorized as misformation, omission, and addition. Among these, </w:t>
      </w:r>
      <w:r>
        <w:rPr>
          <w:rFonts w:ascii="Times New Roman" w:eastAsia="TimesNewRomanPS-BoldMT" w:hAnsi="Times New Roman"/>
          <w:color w:val="000000"/>
          <w:sz w:val="24"/>
          <w:szCs w:val="24"/>
          <w:lang w:eastAsia="zh-CN"/>
        </w:rPr>
        <w:t>misformation was the most frequent error, indicating that students often replaced diphthongs with single vowels or simplified vowel patterns. For instance, the word bear /be</w:t>
      </w:r>
      <w:r>
        <w:rPr>
          <w:rFonts w:ascii="Times New Roman" w:eastAsia="TimesNewRomanPS-BoldMT" w:hAnsi="Times New Roman"/>
          <w:color w:val="000000"/>
          <w:sz w:val="24"/>
          <w:szCs w:val="24"/>
          <w:lang w:eastAsia="zh-CN"/>
        </w:rPr>
        <w:t>ə</w:t>
      </w:r>
      <w:r>
        <w:rPr>
          <w:rFonts w:ascii="Times New Roman" w:eastAsia="TimesNewRomanPS-BoldMT" w:hAnsi="Times New Roman"/>
          <w:color w:val="000000"/>
          <w:sz w:val="24"/>
          <w:szCs w:val="24"/>
          <w:lang w:eastAsia="zh-CN"/>
        </w:rPr>
        <w:t>/ was often pronounced as /b</w:t>
      </w:r>
      <w:r>
        <w:rPr>
          <w:rFonts w:ascii="Times New Roman" w:eastAsia="TimesNewRomanPS-BoldMT" w:hAnsi="Times New Roman"/>
          <w:color w:val="000000"/>
          <w:sz w:val="24"/>
          <w:szCs w:val="24"/>
          <w:lang w:eastAsia="zh-CN"/>
        </w:rPr>
        <w:t>ɛ</w:t>
      </w:r>
      <w:r>
        <w:rPr>
          <w:rFonts w:ascii="Times New Roman" w:eastAsia="TimesNewRomanPS-BoldMT" w:hAnsi="Times New Roman"/>
          <w:color w:val="000000"/>
          <w:sz w:val="24"/>
          <w:szCs w:val="24"/>
          <w:lang w:eastAsia="zh-CN"/>
        </w:rPr>
        <w:t>r/ or /b</w:t>
      </w:r>
      <w:r>
        <w:rPr>
          <w:rFonts w:ascii="Times New Roman" w:eastAsia="TimesNewRomanPS-BoldMT" w:hAnsi="Times New Roman"/>
          <w:color w:val="000000"/>
          <w:sz w:val="24"/>
          <w:szCs w:val="24"/>
          <w:lang w:eastAsia="zh-CN"/>
        </w:rPr>
        <w:t>ɪ</w:t>
      </w:r>
      <w:r>
        <w:rPr>
          <w:rFonts w:ascii="Times New Roman" w:eastAsia="TimesNewRomanPS-BoldMT" w:hAnsi="Times New Roman"/>
          <w:color w:val="000000"/>
          <w:sz w:val="24"/>
          <w:szCs w:val="24"/>
          <w:lang w:eastAsia="zh-CN"/>
        </w:rPr>
        <w:t>r/, while no /n</w:t>
      </w:r>
      <w:r>
        <w:rPr>
          <w:rFonts w:ascii="Times New Roman" w:eastAsia="TimesNewRomanPS-BoldMT" w:hAnsi="Times New Roman"/>
          <w:color w:val="000000"/>
          <w:sz w:val="24"/>
          <w:szCs w:val="24"/>
          <w:lang w:eastAsia="zh-CN"/>
        </w:rPr>
        <w:t>əʊ</w:t>
      </w:r>
      <w:r>
        <w:rPr>
          <w:rFonts w:ascii="Times New Roman" w:eastAsia="TimesNewRomanPS-BoldMT" w:hAnsi="Times New Roman"/>
          <w:color w:val="000000"/>
          <w:sz w:val="24"/>
          <w:szCs w:val="24"/>
          <w:lang w:eastAsia="zh-CN"/>
        </w:rPr>
        <w:t>/ was realized as /no/. Thi</w:t>
      </w:r>
      <w:r>
        <w:rPr>
          <w:rFonts w:ascii="Times New Roman" w:eastAsia="TimesNewRomanPS-BoldMT" w:hAnsi="Times New Roman"/>
          <w:color w:val="000000"/>
          <w:sz w:val="24"/>
          <w:szCs w:val="24"/>
          <w:lang w:eastAsia="zh-CN"/>
        </w:rPr>
        <w:t>s finding aligns with Mardhiyah (2022) and Laxsmi (2020), who also identified misformation as the most dominant error type, and with Najeeb (2024), who observed similar substitution patterns in Kurdish EFL learners due to the absence of equivalent diphthon</w:t>
      </w:r>
      <w:r>
        <w:rPr>
          <w:rFonts w:ascii="Times New Roman" w:eastAsia="TimesNewRomanPS-BoldMT" w:hAnsi="Times New Roman"/>
          <w:color w:val="000000"/>
          <w:sz w:val="24"/>
          <w:szCs w:val="24"/>
          <w:lang w:eastAsia="zh-CN"/>
        </w:rPr>
        <w:t>gs in their native phonological system. In the present study, such errors are likely influenced by the phonological structure of Bahasa Indonesia, which consists of only five pure vowels (/a/, /i/, /u/, /e/, and /o/) and lacks diphthongs as distinct phonem</w:t>
      </w:r>
      <w:r>
        <w:rPr>
          <w:rFonts w:ascii="Times New Roman" w:eastAsia="TimesNewRomanPS-BoldMT" w:hAnsi="Times New Roman"/>
          <w:color w:val="000000"/>
          <w:sz w:val="24"/>
          <w:szCs w:val="24"/>
          <w:lang w:eastAsia="zh-CN"/>
        </w:rPr>
        <w:t>ic units (Pratiwi &amp; Indrayani, 2021). Consequently, students tended to substitute English diphthongs with single vowels that approximate their native sounds. This finding also reflects limited phonological awareness and insufficient articulatory training a</w:t>
      </w:r>
      <w:r>
        <w:rPr>
          <w:rFonts w:ascii="Times New Roman" w:eastAsia="TimesNewRomanPS-BoldMT" w:hAnsi="Times New Roman"/>
          <w:color w:val="000000"/>
          <w:sz w:val="24"/>
          <w:szCs w:val="24"/>
          <w:lang w:eastAsia="zh-CN"/>
        </w:rPr>
        <w:t>mong learners, which often lead to simplified vowel productions (Ammar, Hartono, &amp; Anggraini, 2022).</w:t>
      </w:r>
    </w:p>
    <w:p w14:paraId="525F4F9F" w14:textId="77777777" w:rsidR="00A47DD3" w:rsidRDefault="00F04FB5">
      <w:pPr>
        <w:spacing w:before="120" w:after="120" w:line="260" w:lineRule="auto"/>
        <w:ind w:firstLineChars="200" w:firstLine="480"/>
        <w:jc w:val="both"/>
        <w:rPr>
          <w:rFonts w:ascii="Times New Roman" w:eastAsia="TimesNewRomanPS-BoldMT" w:hAnsi="Times New Roman" w:cs="Times New Roman"/>
          <w:color w:val="000000"/>
          <w:sz w:val="24"/>
          <w:szCs w:val="24"/>
          <w:lang w:eastAsia="zh-CN"/>
        </w:rPr>
      </w:pPr>
      <w:r>
        <w:rPr>
          <w:rFonts w:ascii="Times New Roman Italic" w:eastAsia="TimesNewRomanPS-BoldMT" w:hAnsi="Times New Roman Italic" w:cs="Times New Roman Italic"/>
          <w:i/>
          <w:iCs/>
          <w:color w:val="000000"/>
          <w:sz w:val="24"/>
          <w:szCs w:val="24"/>
          <w:lang w:eastAsia="zh-CN"/>
        </w:rPr>
        <w:t>Omission</w:t>
      </w:r>
      <w:r>
        <w:rPr>
          <w:rFonts w:ascii="Times New Roman" w:eastAsia="TimesNewRomanPS-BoldMT" w:hAnsi="Times New Roman" w:cs="Times New Roman"/>
          <w:color w:val="000000"/>
          <w:sz w:val="24"/>
          <w:szCs w:val="24"/>
          <w:lang w:eastAsia="zh-CN"/>
        </w:rPr>
        <w:t xml:space="preserve"> errors were also common, such as in gave /ge</w:t>
      </w:r>
      <w:r>
        <w:rPr>
          <w:rFonts w:ascii="Times New Roman" w:eastAsia="TimesNewRomanPS-BoldMT" w:hAnsi="Times New Roman" w:cs="Times New Roman"/>
          <w:color w:val="000000"/>
          <w:sz w:val="24"/>
          <w:szCs w:val="24"/>
          <w:lang w:eastAsia="zh-CN"/>
        </w:rPr>
        <w:t>ɪ</w:t>
      </w:r>
      <w:r>
        <w:rPr>
          <w:rFonts w:ascii="Times New Roman" w:eastAsia="TimesNewRomanPS-BoldMT" w:hAnsi="Times New Roman" w:cs="Times New Roman"/>
          <w:color w:val="000000"/>
          <w:sz w:val="24"/>
          <w:szCs w:val="24"/>
          <w:lang w:eastAsia="zh-CN"/>
        </w:rPr>
        <w:t xml:space="preserve">v/, which was produced as /gev/. These errors suggest difficulty in articulating the glide component </w:t>
      </w:r>
      <w:r>
        <w:rPr>
          <w:rFonts w:ascii="Times New Roman" w:eastAsia="TimesNewRomanPS-BoldMT" w:hAnsi="Times New Roman" w:cs="Times New Roman"/>
          <w:color w:val="000000"/>
          <w:sz w:val="24"/>
          <w:szCs w:val="24"/>
          <w:lang w:eastAsia="zh-CN"/>
        </w:rPr>
        <w:t>of diphthongs. Similar findings were reported by Aziz et al. (2023) and Utari (2024), who noted that learners often omitted one element of a diphthong, particularly /</w:t>
      </w:r>
      <w:r>
        <w:rPr>
          <w:rFonts w:ascii="Times New Roman" w:eastAsia="TimesNewRomanPS-BoldMT" w:hAnsi="Times New Roman" w:cs="Times New Roman"/>
          <w:color w:val="000000"/>
          <w:sz w:val="24"/>
          <w:szCs w:val="24"/>
          <w:lang w:eastAsia="zh-CN"/>
        </w:rPr>
        <w:t>əʊ</w:t>
      </w:r>
      <w:r>
        <w:rPr>
          <w:rFonts w:ascii="Times New Roman" w:eastAsia="TimesNewRomanPS-BoldMT" w:hAnsi="Times New Roman" w:cs="Times New Roman"/>
          <w:color w:val="000000"/>
          <w:sz w:val="24"/>
          <w:szCs w:val="24"/>
          <w:lang w:eastAsia="zh-CN"/>
        </w:rPr>
        <w:t>/ and /e</w:t>
      </w:r>
      <w:r>
        <w:rPr>
          <w:rFonts w:ascii="Times New Roman" w:eastAsia="TimesNewRomanPS-BoldMT" w:hAnsi="Times New Roman" w:cs="Times New Roman"/>
          <w:color w:val="000000"/>
          <w:sz w:val="24"/>
          <w:szCs w:val="24"/>
          <w:lang w:eastAsia="zh-CN"/>
        </w:rPr>
        <w:t>ɪ</w:t>
      </w:r>
      <w:r>
        <w:rPr>
          <w:rFonts w:ascii="Times New Roman" w:eastAsia="TimesNewRomanPS-BoldMT" w:hAnsi="Times New Roman" w:cs="Times New Roman"/>
          <w:color w:val="000000"/>
          <w:sz w:val="24"/>
          <w:szCs w:val="24"/>
          <w:lang w:eastAsia="zh-CN"/>
        </w:rPr>
        <w:t>/, to simplify articulation. This tendency reflects the challenge of coordinati</w:t>
      </w:r>
      <w:r>
        <w:rPr>
          <w:rFonts w:ascii="Times New Roman" w:eastAsia="TimesNewRomanPS-BoldMT" w:hAnsi="Times New Roman" w:cs="Times New Roman"/>
          <w:color w:val="000000"/>
          <w:sz w:val="24"/>
          <w:szCs w:val="24"/>
          <w:lang w:eastAsia="zh-CN"/>
        </w:rPr>
        <w:t>ng tongue and jaw movement during diphthong production (Ladefoged &amp; Johnson, 2014), with learners sometimes prioritizing fluency over accuracy.</w:t>
      </w:r>
    </w:p>
    <w:p w14:paraId="2D7E7A74" w14:textId="77777777" w:rsidR="00A47DD3" w:rsidRDefault="00F04FB5">
      <w:pPr>
        <w:spacing w:after="120" w:line="260" w:lineRule="auto"/>
        <w:ind w:firstLineChars="200" w:firstLine="480"/>
        <w:jc w:val="both"/>
        <w:rPr>
          <w:rFonts w:ascii="Times New Roman" w:eastAsia="TimesNewRomanPS-BoldMT" w:hAnsi="Times New Roman" w:cs="Times New Roman"/>
          <w:color w:val="000000"/>
          <w:sz w:val="24"/>
          <w:szCs w:val="24"/>
          <w:lang w:eastAsia="zh-CN"/>
        </w:rPr>
      </w:pPr>
      <w:r>
        <w:rPr>
          <w:rFonts w:ascii="Times New Roman" w:eastAsia="TimesNewRomanPS-BoldMT" w:hAnsi="Times New Roman" w:cs="Times New Roman"/>
          <w:color w:val="000000"/>
          <w:sz w:val="24"/>
          <w:szCs w:val="24"/>
          <w:lang w:eastAsia="zh-CN"/>
        </w:rPr>
        <w:t xml:space="preserve">Addition errors, though rare, were still observed. For example, </w:t>
      </w:r>
      <w:r>
        <w:rPr>
          <w:rFonts w:ascii="Times New Roman Italic" w:eastAsia="TimesNewRomanPS-BoldMT" w:hAnsi="Times New Roman Italic" w:cs="Times New Roman Italic"/>
          <w:i/>
          <w:iCs/>
          <w:color w:val="000000"/>
          <w:sz w:val="24"/>
          <w:szCs w:val="24"/>
          <w:lang w:eastAsia="zh-CN"/>
        </w:rPr>
        <w:t>survive /s</w:t>
      </w:r>
      <w:r>
        <w:rPr>
          <w:rFonts w:ascii="Times New Roman Italic" w:eastAsia="TimesNewRomanPS-BoldMT" w:hAnsi="Times New Roman Italic" w:cs="Times New Roman Italic"/>
          <w:i/>
          <w:iCs/>
          <w:color w:val="000000"/>
          <w:sz w:val="24"/>
          <w:szCs w:val="24"/>
          <w:lang w:eastAsia="zh-CN"/>
        </w:rPr>
        <w:t>ə</w:t>
      </w:r>
      <w:r>
        <w:rPr>
          <w:rFonts w:ascii="Times New Roman Italic" w:eastAsia="TimesNewRomanPS-BoldMT" w:hAnsi="Times New Roman Italic" w:cs="Times New Roman Italic"/>
          <w:i/>
          <w:iCs/>
          <w:color w:val="000000"/>
          <w:sz w:val="24"/>
          <w:szCs w:val="24"/>
          <w:lang w:eastAsia="zh-CN"/>
        </w:rPr>
        <w:t>ˈ</w:t>
      </w:r>
      <w:r>
        <w:rPr>
          <w:rFonts w:ascii="Times New Roman Italic" w:eastAsia="TimesNewRomanPS-BoldMT" w:hAnsi="Times New Roman Italic" w:cs="Times New Roman Italic"/>
          <w:i/>
          <w:iCs/>
          <w:color w:val="000000"/>
          <w:sz w:val="24"/>
          <w:szCs w:val="24"/>
          <w:lang w:eastAsia="zh-CN"/>
        </w:rPr>
        <w:t>va</w:t>
      </w:r>
      <w:r>
        <w:rPr>
          <w:rFonts w:ascii="Times New Roman Italic" w:eastAsia="TimesNewRomanPS-BoldMT" w:hAnsi="Times New Roman Italic" w:cs="Times New Roman Italic"/>
          <w:i/>
          <w:iCs/>
          <w:color w:val="000000"/>
          <w:sz w:val="24"/>
          <w:szCs w:val="24"/>
          <w:lang w:eastAsia="zh-CN"/>
        </w:rPr>
        <w:t>ɪ</w:t>
      </w:r>
      <w:r>
        <w:rPr>
          <w:rFonts w:ascii="Times New Roman Italic" w:eastAsia="TimesNewRomanPS-BoldMT" w:hAnsi="Times New Roman Italic" w:cs="Times New Roman Italic"/>
          <w:i/>
          <w:iCs/>
          <w:color w:val="000000"/>
          <w:sz w:val="24"/>
          <w:szCs w:val="24"/>
          <w:lang w:eastAsia="zh-CN"/>
        </w:rPr>
        <w:t>v/</w:t>
      </w:r>
      <w:r>
        <w:rPr>
          <w:rFonts w:ascii="Times New Roman" w:eastAsia="TimesNewRomanPS-BoldMT" w:hAnsi="Times New Roman" w:cs="Times New Roman"/>
          <w:color w:val="000000"/>
          <w:sz w:val="24"/>
          <w:szCs w:val="24"/>
          <w:lang w:eastAsia="zh-CN"/>
        </w:rPr>
        <w:t xml:space="preserve"> was sometimes pronounced as </w:t>
      </w:r>
      <w:r>
        <w:rPr>
          <w:rFonts w:ascii="Times New Roman Italic" w:eastAsia="TimesNewRomanPS-BoldMT" w:hAnsi="Times New Roman Italic" w:cs="Times New Roman Italic"/>
          <w:i/>
          <w:iCs/>
          <w:color w:val="000000"/>
          <w:sz w:val="24"/>
          <w:szCs w:val="24"/>
          <w:lang w:eastAsia="zh-CN"/>
        </w:rPr>
        <w:t>/s</w:t>
      </w:r>
      <w:r>
        <w:rPr>
          <w:rFonts w:ascii="Times New Roman Italic" w:eastAsia="TimesNewRomanPS-BoldMT" w:hAnsi="Times New Roman Italic" w:cs="Times New Roman Italic"/>
          <w:i/>
          <w:iCs/>
          <w:color w:val="000000"/>
          <w:sz w:val="24"/>
          <w:szCs w:val="24"/>
          <w:lang w:eastAsia="zh-CN"/>
        </w:rPr>
        <w:t>ə</w:t>
      </w:r>
      <w:r>
        <w:rPr>
          <w:rFonts w:ascii="Times New Roman Italic" w:eastAsia="TimesNewRomanPS-BoldMT" w:hAnsi="Times New Roman Italic" w:cs="Times New Roman Italic"/>
          <w:i/>
          <w:iCs/>
          <w:color w:val="000000"/>
          <w:sz w:val="24"/>
          <w:szCs w:val="24"/>
          <w:lang w:eastAsia="zh-CN"/>
        </w:rPr>
        <w:t>ˈ</w:t>
      </w:r>
      <w:r>
        <w:rPr>
          <w:rFonts w:ascii="Times New Roman Italic" w:eastAsia="TimesNewRomanPS-BoldMT" w:hAnsi="Times New Roman Italic" w:cs="Times New Roman Italic"/>
          <w:i/>
          <w:iCs/>
          <w:color w:val="000000"/>
          <w:sz w:val="24"/>
          <w:szCs w:val="24"/>
          <w:lang w:eastAsia="zh-CN"/>
        </w:rPr>
        <w:t>va</w:t>
      </w:r>
      <w:r>
        <w:rPr>
          <w:rFonts w:ascii="Times New Roman Italic" w:eastAsia="TimesNewRomanPS-BoldMT" w:hAnsi="Times New Roman Italic" w:cs="Times New Roman Italic"/>
          <w:i/>
          <w:iCs/>
          <w:color w:val="000000"/>
          <w:sz w:val="24"/>
          <w:szCs w:val="24"/>
          <w:lang w:eastAsia="zh-CN"/>
        </w:rPr>
        <w:t>ɪ</w:t>
      </w:r>
      <w:r>
        <w:rPr>
          <w:rFonts w:ascii="Times New Roman Italic" w:eastAsia="TimesNewRomanPS-BoldMT" w:hAnsi="Times New Roman Italic" w:cs="Times New Roman Italic"/>
          <w:i/>
          <w:iCs/>
          <w:color w:val="000000"/>
          <w:sz w:val="24"/>
          <w:szCs w:val="24"/>
          <w:lang w:eastAsia="zh-CN"/>
        </w:rPr>
        <w:t>vz/</w:t>
      </w:r>
      <w:r>
        <w:rPr>
          <w:rFonts w:ascii="Times New Roman" w:eastAsia="TimesNewRomanPS-BoldMT" w:hAnsi="Times New Roman" w:cs="Times New Roman"/>
          <w:color w:val="000000"/>
          <w:sz w:val="24"/>
          <w:szCs w:val="24"/>
          <w:lang w:eastAsia="zh-CN"/>
        </w:rPr>
        <w:t xml:space="preserve">. These errors may stem from hypercorrection, where learners attempted to sound more native-like but overapplied certain rules. This supports earlier study by Laxsmi (2020), who found </w:t>
      </w:r>
      <w:r>
        <w:rPr>
          <w:rFonts w:ascii="Times New Roman Italic" w:eastAsia="TimesNewRomanPS-BoldMT" w:hAnsi="Times New Roman Italic" w:cs="Times New Roman Italic"/>
          <w:i/>
          <w:iCs/>
          <w:color w:val="000000"/>
          <w:sz w:val="24"/>
          <w:szCs w:val="24"/>
          <w:lang w:eastAsia="zh-CN"/>
        </w:rPr>
        <w:t xml:space="preserve">addition </w:t>
      </w:r>
      <w:r>
        <w:rPr>
          <w:rFonts w:ascii="Times New Roman" w:eastAsia="TimesNewRomanPS-BoldMT" w:hAnsi="Times New Roman" w:cs="Times New Roman"/>
          <w:color w:val="000000"/>
          <w:sz w:val="24"/>
          <w:szCs w:val="24"/>
          <w:lang w:eastAsia="zh-CN"/>
        </w:rPr>
        <w:t>errors to be minimal, accounting for less than 6% of to</w:t>
      </w:r>
      <w:r>
        <w:rPr>
          <w:rFonts w:ascii="Times New Roman" w:eastAsia="TimesNewRomanPS-BoldMT" w:hAnsi="Times New Roman" w:cs="Times New Roman"/>
          <w:color w:val="000000"/>
          <w:sz w:val="24"/>
          <w:szCs w:val="24"/>
          <w:lang w:eastAsia="zh-CN"/>
        </w:rPr>
        <w:t xml:space="preserve">tal errors. Although infrequent, such errors indicate learners’ active experimentation with phonological rules, highlighting the importance of corrective feedback in pronunciation training. </w:t>
      </w:r>
      <w:r>
        <w:rPr>
          <w:rFonts w:ascii="Times New Roman" w:eastAsia="TimesNewRomanPS-BoldMT" w:hAnsi="Times New Roman"/>
          <w:color w:val="000000"/>
          <w:sz w:val="24"/>
          <w:szCs w:val="24"/>
          <w:lang w:eastAsia="zh-CN"/>
        </w:rPr>
        <w:t xml:space="preserve">Interestingly, no </w:t>
      </w:r>
      <w:r>
        <w:rPr>
          <w:rFonts w:ascii="Times New Roman Italic" w:eastAsia="TimesNewRomanPS-BoldMT" w:hAnsi="Times New Roman Italic" w:cs="Times New Roman Italic"/>
          <w:i/>
          <w:iCs/>
          <w:color w:val="000000"/>
          <w:sz w:val="24"/>
          <w:szCs w:val="24"/>
          <w:lang w:eastAsia="zh-CN"/>
        </w:rPr>
        <w:t>misordering</w:t>
      </w:r>
      <w:r>
        <w:rPr>
          <w:rFonts w:ascii="Times New Roman" w:eastAsia="TimesNewRomanPS-BoldMT" w:hAnsi="Times New Roman"/>
          <w:color w:val="000000"/>
          <w:sz w:val="24"/>
          <w:szCs w:val="24"/>
          <w:lang w:eastAsia="zh-CN"/>
        </w:rPr>
        <w:t xml:space="preserve"> errors were found in this study. Whi</w:t>
      </w:r>
      <w:r>
        <w:rPr>
          <w:rFonts w:ascii="Times New Roman" w:eastAsia="TimesNewRomanPS-BoldMT" w:hAnsi="Times New Roman"/>
          <w:color w:val="000000"/>
          <w:sz w:val="24"/>
          <w:szCs w:val="24"/>
          <w:lang w:eastAsia="zh-CN"/>
        </w:rPr>
        <w:t>le previous studies such as Mardhiyah (2022) and Laxsmi (2020) reported very low percentages of</w:t>
      </w:r>
      <w:r>
        <w:rPr>
          <w:rFonts w:ascii="Times New Roman Italic" w:eastAsia="TimesNewRomanPS-BoldMT" w:hAnsi="Times New Roman Italic" w:cs="Times New Roman Italic"/>
          <w:i/>
          <w:iCs/>
          <w:color w:val="000000"/>
          <w:sz w:val="24"/>
          <w:szCs w:val="24"/>
          <w:lang w:eastAsia="zh-CN"/>
        </w:rPr>
        <w:t xml:space="preserve"> misordering</w:t>
      </w:r>
      <w:r>
        <w:rPr>
          <w:rFonts w:ascii="Times New Roman" w:eastAsia="TimesNewRomanPS-BoldMT" w:hAnsi="Times New Roman"/>
          <w:color w:val="000000"/>
          <w:sz w:val="24"/>
          <w:szCs w:val="24"/>
          <w:lang w:eastAsia="zh-CN"/>
        </w:rPr>
        <w:t>, the absence of such errors here may indicate that students maintained accurate sequencing of sounds despite occasional inaccuracies in articulation</w:t>
      </w:r>
      <w:r>
        <w:rPr>
          <w:rFonts w:ascii="Times New Roman" w:eastAsia="TimesNewRomanPS-BoldMT" w:hAnsi="Times New Roman"/>
          <w:color w:val="000000"/>
          <w:sz w:val="24"/>
          <w:szCs w:val="24"/>
          <w:lang w:eastAsia="zh-CN"/>
        </w:rPr>
        <w:t>.</w:t>
      </w:r>
    </w:p>
    <w:p w14:paraId="682C78FF" w14:textId="77777777" w:rsidR="00A47DD3" w:rsidRDefault="00F04FB5">
      <w:pPr>
        <w:spacing w:after="120" w:line="260" w:lineRule="auto"/>
        <w:ind w:firstLineChars="200" w:firstLine="480"/>
        <w:jc w:val="both"/>
        <w:rPr>
          <w:rFonts w:ascii="Times New Roman" w:eastAsia="TimesNewRomanPS-BoldMT" w:hAnsi="Times New Roman"/>
          <w:color w:val="000000"/>
          <w:sz w:val="24"/>
          <w:szCs w:val="24"/>
          <w:lang w:eastAsia="zh-CN"/>
        </w:rPr>
      </w:pPr>
      <w:r>
        <w:rPr>
          <w:rFonts w:ascii="Times New Roman" w:eastAsia="TimesNewRomanPS-BoldMT" w:hAnsi="Times New Roman"/>
          <w:color w:val="000000"/>
          <w:sz w:val="24"/>
          <w:szCs w:val="24"/>
          <w:lang w:eastAsia="zh-CN"/>
        </w:rPr>
        <w:t>In terms of specific diphthongs, the most problematic were /</w:t>
      </w:r>
      <w:r>
        <w:rPr>
          <w:rFonts w:ascii="Times New Roman" w:eastAsia="TimesNewRomanPS-BoldMT" w:hAnsi="Times New Roman"/>
          <w:color w:val="000000"/>
          <w:sz w:val="24"/>
          <w:szCs w:val="24"/>
          <w:lang w:eastAsia="zh-CN"/>
        </w:rPr>
        <w:t>əʊ</w:t>
      </w:r>
      <w:r>
        <w:rPr>
          <w:rFonts w:ascii="Times New Roman" w:eastAsia="TimesNewRomanPS-BoldMT" w:hAnsi="Times New Roman"/>
          <w:color w:val="000000"/>
          <w:sz w:val="24"/>
          <w:szCs w:val="24"/>
          <w:lang w:eastAsia="zh-CN"/>
        </w:rPr>
        <w:t>/, /e</w:t>
      </w:r>
      <w:r>
        <w:rPr>
          <w:rFonts w:ascii="Times New Roman" w:eastAsia="TimesNewRomanPS-BoldMT" w:hAnsi="Times New Roman"/>
          <w:color w:val="000000"/>
          <w:sz w:val="24"/>
          <w:szCs w:val="24"/>
          <w:lang w:eastAsia="zh-CN"/>
        </w:rPr>
        <w:t>ɪ</w:t>
      </w:r>
      <w:r>
        <w:rPr>
          <w:rFonts w:ascii="Times New Roman" w:eastAsia="TimesNewRomanPS-BoldMT" w:hAnsi="Times New Roman"/>
          <w:color w:val="000000"/>
          <w:sz w:val="24"/>
          <w:szCs w:val="24"/>
          <w:lang w:eastAsia="zh-CN"/>
        </w:rPr>
        <w:t>/, and /</w:t>
      </w:r>
      <w:r>
        <w:rPr>
          <w:rFonts w:ascii="Times New Roman" w:eastAsia="TimesNewRomanPS-BoldMT" w:hAnsi="Times New Roman"/>
          <w:color w:val="000000"/>
          <w:sz w:val="24"/>
          <w:szCs w:val="24"/>
          <w:lang w:eastAsia="zh-CN"/>
        </w:rPr>
        <w:t>ɪə</w:t>
      </w:r>
      <w:r>
        <w:rPr>
          <w:rFonts w:ascii="Times New Roman" w:eastAsia="TimesNewRomanPS-BoldMT" w:hAnsi="Times New Roman"/>
          <w:color w:val="000000"/>
          <w:sz w:val="24"/>
          <w:szCs w:val="24"/>
          <w:lang w:eastAsia="zh-CN"/>
        </w:rPr>
        <w:t>/. This result is consistent with studies by Najeeb (2024), Aziz et al. (2023), and Utari (2024), who reported similar difficulties. These findings can be attributed to the art</w:t>
      </w:r>
      <w:r>
        <w:rPr>
          <w:rFonts w:ascii="Times New Roman" w:eastAsia="TimesNewRomanPS-BoldMT" w:hAnsi="Times New Roman"/>
          <w:color w:val="000000"/>
          <w:sz w:val="24"/>
          <w:szCs w:val="24"/>
          <w:lang w:eastAsia="zh-CN"/>
        </w:rPr>
        <w:t>iculatory complexity of these diphthongs, which require precise tongue movement and jaw coordination not typical in the Indonesian vowel system (Ladefoged &amp; Johnson, 2014). The lack of equivalent vowel glides in Bahasa Indonesia further complicates their p</w:t>
      </w:r>
      <w:r>
        <w:rPr>
          <w:rFonts w:ascii="Times New Roman" w:eastAsia="TimesNewRomanPS-BoldMT" w:hAnsi="Times New Roman"/>
          <w:color w:val="000000"/>
          <w:sz w:val="24"/>
          <w:szCs w:val="24"/>
          <w:lang w:eastAsia="zh-CN"/>
        </w:rPr>
        <w:t xml:space="preserve">roduction, leading students to simplify or substitute these diphthongs with the closest monophthongs from their first language (Anwar &amp; </w:t>
      </w:r>
      <w:r>
        <w:rPr>
          <w:rFonts w:ascii="Times New Roman" w:eastAsia="TimesNewRomanPS-BoldMT" w:hAnsi="Times New Roman"/>
          <w:color w:val="000000"/>
          <w:sz w:val="24"/>
          <w:szCs w:val="24"/>
          <w:lang w:eastAsia="zh-CN"/>
        </w:rPr>
        <w:lastRenderedPageBreak/>
        <w:t>Kalisa, 2020).This pattern is consistent with the observations of Mardhiyah (2022) and Laksmi (2020), who also noted tha</w:t>
      </w:r>
      <w:r>
        <w:rPr>
          <w:rFonts w:ascii="Times New Roman" w:eastAsia="TimesNewRomanPS-BoldMT" w:hAnsi="Times New Roman"/>
          <w:color w:val="000000"/>
          <w:sz w:val="24"/>
          <w:szCs w:val="24"/>
          <w:lang w:eastAsia="zh-CN"/>
        </w:rPr>
        <w:t>t Indonesian learners tend to reduce diphthongs to simpler vowel sounds as an adaptation strategy. Conversely, diphthongs such as /</w:t>
      </w:r>
      <w:r>
        <w:rPr>
          <w:rFonts w:ascii="Times New Roman" w:eastAsia="TimesNewRomanPS-BoldMT" w:hAnsi="Times New Roman"/>
          <w:color w:val="000000"/>
          <w:sz w:val="24"/>
          <w:szCs w:val="24"/>
          <w:lang w:eastAsia="zh-CN"/>
        </w:rPr>
        <w:t>ɔɪ</w:t>
      </w:r>
      <w:r>
        <w:rPr>
          <w:rFonts w:ascii="Times New Roman" w:eastAsia="TimesNewRomanPS-BoldMT" w:hAnsi="Times New Roman"/>
          <w:color w:val="000000"/>
          <w:sz w:val="24"/>
          <w:szCs w:val="24"/>
          <w:lang w:eastAsia="zh-CN"/>
        </w:rPr>
        <w:t>/ and /</w:t>
      </w:r>
      <w:r>
        <w:rPr>
          <w:rFonts w:ascii="Times New Roman" w:eastAsia="TimesNewRomanPS-BoldMT" w:hAnsi="Times New Roman"/>
          <w:color w:val="000000"/>
          <w:sz w:val="24"/>
          <w:szCs w:val="24"/>
          <w:lang w:eastAsia="zh-CN"/>
        </w:rPr>
        <w:t>ʊə</w:t>
      </w:r>
      <w:r>
        <w:rPr>
          <w:rFonts w:ascii="Times New Roman" w:eastAsia="TimesNewRomanPS-BoldMT" w:hAnsi="Times New Roman"/>
          <w:color w:val="000000"/>
          <w:sz w:val="24"/>
          <w:szCs w:val="24"/>
          <w:lang w:eastAsia="zh-CN"/>
        </w:rPr>
        <w:t>/ recorded fewer errors, possibly due to avoidance strategies (Ramadhan et al., 2023) or limited exposure in the p</w:t>
      </w:r>
      <w:r>
        <w:rPr>
          <w:rFonts w:ascii="Times New Roman" w:eastAsia="TimesNewRomanPS-BoldMT" w:hAnsi="Times New Roman"/>
          <w:color w:val="000000"/>
          <w:sz w:val="24"/>
          <w:szCs w:val="24"/>
          <w:lang w:eastAsia="zh-CN"/>
        </w:rPr>
        <w:t>ronunciation tasks rather than genuine mastery.</w:t>
      </w:r>
    </w:p>
    <w:p w14:paraId="0D2ACC12" w14:textId="77777777" w:rsidR="00A47DD3" w:rsidRDefault="00F04FB5">
      <w:pPr>
        <w:spacing w:after="120" w:line="260" w:lineRule="auto"/>
        <w:ind w:firstLineChars="200" w:firstLine="480"/>
        <w:jc w:val="both"/>
        <w:rPr>
          <w:rFonts w:ascii="Times New Roman" w:eastAsia="TimesNewRomanPS-BoldMT" w:hAnsi="Times New Roman"/>
          <w:color w:val="000000"/>
          <w:sz w:val="24"/>
          <w:szCs w:val="24"/>
          <w:lang w:eastAsia="zh-CN"/>
        </w:rPr>
      </w:pPr>
      <w:r>
        <w:rPr>
          <w:rFonts w:ascii="Times New Roman" w:eastAsia="TimesNewRomanPS-BoldMT" w:hAnsi="Times New Roman"/>
          <w:color w:val="000000"/>
          <w:sz w:val="24"/>
          <w:szCs w:val="24"/>
          <w:lang w:eastAsia="zh-CN"/>
        </w:rPr>
        <w:t>The analysis of the association between theoretical understanding and pronunciation accuracy showed no significant association. The Chi-Square test indicated that knowledge of diphthongs did not necessarily t</w:t>
      </w:r>
      <w:r>
        <w:rPr>
          <w:rFonts w:ascii="Times New Roman" w:eastAsia="TimesNewRomanPS-BoldMT" w:hAnsi="Times New Roman"/>
          <w:color w:val="000000"/>
          <w:sz w:val="24"/>
          <w:szCs w:val="24"/>
          <w:lang w:eastAsia="zh-CN"/>
        </w:rPr>
        <w:t xml:space="preserve">ranslate into accurate pronunciation. This finding aligns with recent research by Saito and Plonsky (2019), who emphasize that pronunciation competence develops primarily through consistent practice, auditory perception, and feedback-based training rather </w:t>
      </w:r>
      <w:r>
        <w:rPr>
          <w:rFonts w:ascii="Times New Roman" w:eastAsia="TimesNewRomanPS-BoldMT" w:hAnsi="Times New Roman"/>
          <w:color w:val="000000"/>
          <w:sz w:val="24"/>
          <w:szCs w:val="24"/>
          <w:lang w:eastAsia="zh-CN"/>
        </w:rPr>
        <w:t>than theoretical knowledge alone. Similarly, Alghazo, Jarrah, and Salem (2023) and Behr (2022) highlighted the effectiveness of auditory exposure and speech visualization tools in improving pronunciation accuracy.</w:t>
      </w:r>
    </w:p>
    <w:p w14:paraId="3DE38490" w14:textId="77777777" w:rsidR="00A47DD3" w:rsidRDefault="00F04FB5">
      <w:pPr>
        <w:spacing w:after="120" w:line="260" w:lineRule="auto"/>
        <w:ind w:firstLineChars="200" w:firstLine="480"/>
        <w:jc w:val="both"/>
        <w:rPr>
          <w:rFonts w:ascii="Times New Roman" w:eastAsia="TimesNewRomanPS-BoldMT" w:hAnsi="Times New Roman" w:cs="Times New Roman"/>
          <w:color w:val="000000"/>
          <w:sz w:val="24"/>
          <w:szCs w:val="24"/>
          <w:lang w:eastAsia="zh-CN"/>
        </w:rPr>
      </w:pPr>
      <w:r>
        <w:rPr>
          <w:rFonts w:ascii="Times New Roman" w:eastAsia="TimesNewRomanPS-BoldMT" w:hAnsi="Times New Roman"/>
          <w:color w:val="000000"/>
          <w:sz w:val="24"/>
          <w:szCs w:val="24"/>
          <w:lang w:eastAsia="zh-CN"/>
        </w:rPr>
        <w:t xml:space="preserve">Interestingly, some students with limited </w:t>
      </w:r>
      <w:r>
        <w:rPr>
          <w:rFonts w:ascii="Times New Roman" w:eastAsia="TimesNewRomanPS-BoldMT" w:hAnsi="Times New Roman"/>
          <w:color w:val="000000"/>
          <w:sz w:val="24"/>
          <w:szCs w:val="24"/>
          <w:lang w:eastAsia="zh-CN"/>
        </w:rPr>
        <w:t>formal knowledge performed well in pronunciation, most likely due to repeated exposure and active engagement with spoken English in authentic contexts (Nguyen et al., 2021). This study emphasized that the effectiveness of pronunciation learning depends not</w:t>
      </w:r>
      <w:r>
        <w:rPr>
          <w:rFonts w:ascii="Times New Roman" w:eastAsia="TimesNewRomanPS-BoldMT" w:hAnsi="Times New Roman"/>
          <w:color w:val="000000"/>
          <w:sz w:val="24"/>
          <w:szCs w:val="24"/>
          <w:lang w:eastAsia="zh-CN"/>
        </w:rPr>
        <w:t xml:space="preserve"> merely on theoretical understanding but on learners’ active participation in listening, imitation, and consistent practice. In addition, Almalki and Algethami (2022) found that auditory input plays a crucial role in improving EFL learners’ pronunciation e</w:t>
      </w:r>
      <w:r>
        <w:rPr>
          <w:rFonts w:ascii="Times New Roman" w:eastAsia="TimesNewRomanPS-BoldMT" w:hAnsi="Times New Roman"/>
          <w:color w:val="000000"/>
          <w:sz w:val="24"/>
          <w:szCs w:val="24"/>
          <w:lang w:eastAsia="zh-CN"/>
        </w:rPr>
        <w:t>ven without explicit instruction. Such auditory experiences enable learners to internalize segmental and suprasegmental patterns subconsciously, leading to greater pronunciation accuracy despite limited theoretical knowledge.</w:t>
      </w:r>
    </w:p>
    <w:p w14:paraId="5C6160BA" w14:textId="77777777" w:rsidR="00A47DD3" w:rsidRDefault="00F04FB5">
      <w:pPr>
        <w:spacing w:line="260" w:lineRule="auto"/>
        <w:ind w:firstLineChars="200" w:firstLine="480"/>
        <w:jc w:val="both"/>
        <w:rPr>
          <w:rFonts w:ascii="Times New Roman" w:eastAsia="TimesNewRomanPS-BoldMT" w:hAnsi="Times New Roman" w:cs="Times New Roman"/>
          <w:color w:val="000000"/>
          <w:sz w:val="24"/>
          <w:szCs w:val="24"/>
          <w:lang w:eastAsia="zh-CN"/>
        </w:rPr>
      </w:pPr>
      <w:r>
        <w:rPr>
          <w:rFonts w:ascii="Times New Roman" w:eastAsia="TimesNewRomanPS-BoldMT" w:hAnsi="Times New Roman" w:cs="Times New Roman"/>
          <w:color w:val="000000"/>
          <w:sz w:val="24"/>
          <w:szCs w:val="24"/>
          <w:lang w:eastAsia="zh-CN"/>
        </w:rPr>
        <w:t xml:space="preserve">Overall, the findings </w:t>
      </w:r>
      <w:r>
        <w:rPr>
          <w:rFonts w:ascii="Times New Roman" w:eastAsia="TimesNewRomanPS-BoldMT" w:hAnsi="Times New Roman" w:cs="Times New Roman"/>
          <w:color w:val="000000"/>
          <w:sz w:val="24"/>
          <w:szCs w:val="24"/>
          <w:lang w:eastAsia="zh-CN"/>
        </w:rPr>
        <w:t>suggest that while theoretical understanding of diphthongs provides a foundation, accurate pronunciation is more effectively developed through consistent exposure, practice, and corrective feedback. The overall error rate of 23.1% indicates that the partic</w:t>
      </w:r>
      <w:r>
        <w:rPr>
          <w:rFonts w:ascii="Times New Roman" w:eastAsia="TimesNewRomanPS-BoldMT" w:hAnsi="Times New Roman" w:cs="Times New Roman"/>
          <w:color w:val="000000"/>
          <w:sz w:val="24"/>
          <w:szCs w:val="24"/>
          <w:lang w:eastAsia="zh-CN"/>
        </w:rPr>
        <w:t>ipants, as sixth-semester students, demonstrated a relatively good level of pronunciation performance, reflecting the benefits of accumulated academic training and sustained practice.</w:t>
      </w:r>
    </w:p>
    <w:p w14:paraId="12A08C93" w14:textId="77777777" w:rsidR="00A47DD3" w:rsidRDefault="00F04FB5">
      <w:pPr>
        <w:tabs>
          <w:tab w:val="left" w:pos="720"/>
          <w:tab w:val="left" w:pos="1890"/>
          <w:tab w:val="left" w:pos="207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CONCLUSION </w:t>
      </w:r>
    </w:p>
    <w:p w14:paraId="343DAA83" w14:textId="77777777" w:rsidR="00A47DD3" w:rsidRDefault="00F04FB5">
      <w:pPr>
        <w:tabs>
          <w:tab w:val="left" w:pos="720"/>
          <w:tab w:val="left" w:pos="1890"/>
          <w:tab w:val="left" w:pos="2070"/>
        </w:tabs>
        <w:spacing w:line="240" w:lineRule="auto"/>
        <w:jc w:val="both"/>
        <w:rPr>
          <w:rFonts w:ascii="Times New Roman" w:hAnsi="Times New Roman" w:cs="Times New Roman"/>
          <w:b/>
          <w:sz w:val="24"/>
          <w:szCs w:val="24"/>
        </w:rPr>
      </w:pPr>
      <w:r>
        <w:rPr>
          <w:rFonts w:ascii="Times New Roman" w:hAnsi="Times New Roman" w:cs="Times New Roman"/>
          <w:b/>
          <w:sz w:val="24"/>
          <w:szCs w:val="24"/>
        </w:rPr>
        <w:t>Conclusion</w:t>
      </w:r>
    </w:p>
    <w:p w14:paraId="3CC32587" w14:textId="77777777" w:rsidR="00A47DD3" w:rsidRDefault="00F04FB5">
      <w:pPr>
        <w:tabs>
          <w:tab w:val="left" w:pos="720"/>
          <w:tab w:val="left" w:pos="1890"/>
          <w:tab w:val="left" w:pos="2070"/>
        </w:tabs>
        <w:spacing w:line="240" w:lineRule="auto"/>
        <w:ind w:firstLineChars="200" w:firstLine="480"/>
        <w:jc w:val="both"/>
        <w:rPr>
          <w:rFonts w:ascii="Times New Roman" w:hAnsi="Times New Roman"/>
          <w:sz w:val="24"/>
          <w:szCs w:val="24"/>
        </w:rPr>
      </w:pPr>
      <w:r>
        <w:rPr>
          <w:rFonts w:ascii="Times New Roman" w:hAnsi="Times New Roman"/>
          <w:sz w:val="24"/>
          <w:szCs w:val="24"/>
        </w:rPr>
        <w:t>This study analyzed phonological errors in the p</w:t>
      </w:r>
      <w:r>
        <w:rPr>
          <w:rFonts w:ascii="Times New Roman" w:hAnsi="Times New Roman"/>
          <w:sz w:val="24"/>
          <w:szCs w:val="24"/>
        </w:rPr>
        <w:t xml:space="preserve">ronunciation of English vowel diphthongs by sixth-semester students at Universitas Indo Global Mandiri. A total of 216 errors were identified, with misformation as the most frequent type, followed by </w:t>
      </w:r>
      <w:r>
        <w:rPr>
          <w:rFonts w:ascii="Times New Roman Italic" w:hAnsi="Times New Roman Italic" w:cs="Times New Roman Italic"/>
          <w:i/>
          <w:iCs/>
          <w:sz w:val="24"/>
          <w:szCs w:val="24"/>
        </w:rPr>
        <w:t xml:space="preserve">omission </w:t>
      </w:r>
      <w:r>
        <w:rPr>
          <w:rFonts w:ascii="Times New Roman" w:hAnsi="Times New Roman"/>
          <w:sz w:val="24"/>
          <w:szCs w:val="24"/>
        </w:rPr>
        <w:t xml:space="preserve">and a few </w:t>
      </w:r>
      <w:r>
        <w:rPr>
          <w:rFonts w:ascii="Times New Roman Italic" w:hAnsi="Times New Roman Italic" w:cs="Times New Roman Italic"/>
          <w:i/>
          <w:iCs/>
          <w:sz w:val="24"/>
          <w:szCs w:val="24"/>
        </w:rPr>
        <w:t>addition</w:t>
      </w:r>
      <w:r>
        <w:rPr>
          <w:rFonts w:ascii="Times New Roman" w:hAnsi="Times New Roman"/>
          <w:sz w:val="24"/>
          <w:szCs w:val="24"/>
        </w:rPr>
        <w:t xml:space="preserve"> errors, while no </w:t>
      </w:r>
      <w:r>
        <w:rPr>
          <w:rFonts w:ascii="Times New Roman Italic" w:hAnsi="Times New Roman Italic" w:cs="Times New Roman Italic"/>
          <w:i/>
          <w:iCs/>
          <w:sz w:val="24"/>
          <w:szCs w:val="24"/>
        </w:rPr>
        <w:t>misordering</w:t>
      </w:r>
      <w:r>
        <w:rPr>
          <w:rFonts w:ascii="Times New Roman Italic" w:hAnsi="Times New Roman Italic" w:cs="Times New Roman Italic"/>
          <w:i/>
          <w:iCs/>
          <w:sz w:val="24"/>
          <w:szCs w:val="24"/>
        </w:rPr>
        <w:t xml:space="preserve"> </w:t>
      </w:r>
      <w:r>
        <w:rPr>
          <w:rFonts w:ascii="Times New Roman" w:hAnsi="Times New Roman"/>
          <w:sz w:val="24"/>
          <w:szCs w:val="24"/>
        </w:rPr>
        <w:t>occurred. The diphthongs /</w:t>
      </w:r>
      <w:r>
        <w:rPr>
          <w:rFonts w:ascii="Times New Roman" w:hAnsi="Times New Roman"/>
          <w:sz w:val="24"/>
          <w:szCs w:val="24"/>
        </w:rPr>
        <w:t>əʊ</w:t>
      </w:r>
      <w:r>
        <w:rPr>
          <w:rFonts w:ascii="Times New Roman" w:hAnsi="Times New Roman"/>
          <w:sz w:val="24"/>
          <w:szCs w:val="24"/>
        </w:rPr>
        <w:t>/, /e</w:t>
      </w:r>
      <w:r>
        <w:rPr>
          <w:rFonts w:ascii="Times New Roman" w:hAnsi="Times New Roman"/>
          <w:sz w:val="24"/>
          <w:szCs w:val="24"/>
        </w:rPr>
        <w:t>ɪ</w:t>
      </w:r>
      <w:r>
        <w:rPr>
          <w:rFonts w:ascii="Times New Roman" w:hAnsi="Times New Roman"/>
          <w:sz w:val="24"/>
          <w:szCs w:val="24"/>
        </w:rPr>
        <w:t>/, and /</w:t>
      </w:r>
      <w:r>
        <w:rPr>
          <w:rFonts w:ascii="Times New Roman" w:hAnsi="Times New Roman"/>
          <w:sz w:val="24"/>
          <w:szCs w:val="24"/>
        </w:rPr>
        <w:t>ɪə</w:t>
      </w:r>
      <w:r>
        <w:rPr>
          <w:rFonts w:ascii="Times New Roman" w:hAnsi="Times New Roman"/>
          <w:sz w:val="24"/>
          <w:szCs w:val="24"/>
        </w:rPr>
        <w:t>/ were the most problematic, whereas /</w:t>
      </w:r>
      <w:r>
        <w:rPr>
          <w:rFonts w:ascii="Times New Roman" w:hAnsi="Times New Roman"/>
          <w:sz w:val="24"/>
          <w:szCs w:val="24"/>
        </w:rPr>
        <w:t>ɔɪ</w:t>
      </w:r>
      <w:r>
        <w:rPr>
          <w:rFonts w:ascii="Times New Roman" w:hAnsi="Times New Roman"/>
          <w:sz w:val="24"/>
          <w:szCs w:val="24"/>
        </w:rPr>
        <w:t>/ was rarely mispronounced, reflecting the influence of articulatory complexity and the absence of equivalent sounds in Bahasa Indonesia. Statistical analysis showed no si</w:t>
      </w:r>
      <w:r>
        <w:rPr>
          <w:rFonts w:ascii="Times New Roman" w:hAnsi="Times New Roman"/>
          <w:sz w:val="24"/>
          <w:szCs w:val="24"/>
        </w:rPr>
        <w:t>gnificant association between students’ theoretical understanding and their pronunciation accuracy, indicating that knowledge alone does not ensure accurate production. Therefore, pronunciation instruction should prioritize targeted articulation drills for</w:t>
      </w:r>
      <w:r>
        <w:rPr>
          <w:rFonts w:ascii="Times New Roman" w:hAnsi="Times New Roman"/>
          <w:sz w:val="24"/>
          <w:szCs w:val="24"/>
        </w:rPr>
        <w:t xml:space="preserve"> complex diphthongs such as /</w:t>
      </w:r>
      <w:r>
        <w:rPr>
          <w:rFonts w:ascii="Times New Roman" w:hAnsi="Times New Roman"/>
          <w:sz w:val="24"/>
          <w:szCs w:val="24"/>
        </w:rPr>
        <w:t>əʊ</w:t>
      </w:r>
      <w:r>
        <w:rPr>
          <w:rFonts w:ascii="Times New Roman" w:hAnsi="Times New Roman"/>
          <w:sz w:val="24"/>
          <w:szCs w:val="24"/>
        </w:rPr>
        <w:t>/ and /</w:t>
      </w:r>
      <w:r>
        <w:rPr>
          <w:rFonts w:ascii="Times New Roman" w:hAnsi="Times New Roman"/>
          <w:sz w:val="24"/>
          <w:szCs w:val="24"/>
        </w:rPr>
        <w:t>ɪə</w:t>
      </w:r>
      <w:r>
        <w:rPr>
          <w:rFonts w:ascii="Times New Roman" w:hAnsi="Times New Roman"/>
          <w:sz w:val="24"/>
          <w:szCs w:val="24"/>
        </w:rPr>
        <w:t xml:space="preserve">/, listening and imitation tasks to reduce </w:t>
      </w:r>
      <w:r>
        <w:rPr>
          <w:rFonts w:ascii="Times New Roman Italic" w:hAnsi="Times New Roman Italic" w:cs="Times New Roman Italic"/>
          <w:i/>
          <w:iCs/>
          <w:sz w:val="24"/>
          <w:szCs w:val="24"/>
        </w:rPr>
        <w:t>misformation</w:t>
      </w:r>
      <w:r>
        <w:rPr>
          <w:rFonts w:ascii="Times New Roman" w:hAnsi="Times New Roman"/>
          <w:sz w:val="24"/>
          <w:szCs w:val="24"/>
        </w:rPr>
        <w:t xml:space="preserve">, and guided pronunciation practice emphasizing vowel glides to minimize </w:t>
      </w:r>
      <w:r>
        <w:rPr>
          <w:rFonts w:ascii="Times New Roman Italic" w:hAnsi="Times New Roman Italic" w:cs="Times New Roman Italic"/>
          <w:i/>
          <w:iCs/>
          <w:sz w:val="24"/>
          <w:szCs w:val="24"/>
        </w:rPr>
        <w:t>omission</w:t>
      </w:r>
      <w:r>
        <w:rPr>
          <w:rFonts w:ascii="Times New Roman" w:hAnsi="Times New Roman"/>
          <w:sz w:val="24"/>
          <w:szCs w:val="24"/>
        </w:rPr>
        <w:t xml:space="preserve"> errors, thereby enhancing learners’ overall intelligibility.</w:t>
      </w:r>
    </w:p>
    <w:p w14:paraId="25837FE4" w14:textId="77777777" w:rsidR="00A47DD3" w:rsidRDefault="00A47DD3">
      <w:pPr>
        <w:tabs>
          <w:tab w:val="left" w:pos="720"/>
          <w:tab w:val="left" w:pos="1890"/>
          <w:tab w:val="left" w:pos="2070"/>
        </w:tabs>
        <w:spacing w:line="240" w:lineRule="auto"/>
        <w:jc w:val="both"/>
        <w:rPr>
          <w:rFonts w:ascii="Times New Roman" w:hAnsi="Times New Roman"/>
          <w:sz w:val="24"/>
          <w:szCs w:val="24"/>
        </w:rPr>
      </w:pPr>
    </w:p>
    <w:p w14:paraId="40CE0B1F" w14:textId="77777777" w:rsidR="00A47DD3" w:rsidRDefault="00F04FB5">
      <w:pPr>
        <w:spacing w:line="240" w:lineRule="auto"/>
        <w:rPr>
          <w:rFonts w:ascii="Times New Roman" w:hAnsi="Times New Roman" w:cs="Times New Roman"/>
          <w:b/>
          <w:sz w:val="24"/>
          <w:szCs w:val="24"/>
        </w:rPr>
      </w:pPr>
      <w:r>
        <w:rPr>
          <w:rFonts w:ascii="Times New Roman" w:hAnsi="Times New Roman" w:cs="Times New Roman"/>
          <w:b/>
          <w:sz w:val="24"/>
          <w:szCs w:val="24"/>
        </w:rPr>
        <w:lastRenderedPageBreak/>
        <w:t>REFERENCES</w:t>
      </w:r>
    </w:p>
    <w:p w14:paraId="3B8D6E11" w14:textId="77777777" w:rsidR="00A47DD3" w:rsidRDefault="00F04FB5">
      <w:pPr>
        <w:tabs>
          <w:tab w:val="left" w:pos="735"/>
        </w:tabs>
        <w:spacing w:after="120"/>
        <w:ind w:left="480" w:hangingChars="200" w:hanging="480"/>
        <w:jc w:val="both"/>
        <w:rPr>
          <w:rFonts w:ascii="Times New Roman Regular" w:hAnsi="Times New Roman Regular" w:cs="Times New Roman Regular"/>
          <w:sz w:val="24"/>
          <w:szCs w:val="24"/>
        </w:rPr>
      </w:pPr>
      <w:bookmarkStart w:id="2" w:name="_Ref508087047"/>
      <w:r>
        <w:rPr>
          <w:rFonts w:ascii="Times New Roman Regular" w:hAnsi="Times New Roman Regular" w:cs="Times New Roman Regular"/>
          <w:sz w:val="24"/>
          <w:szCs w:val="24"/>
        </w:rPr>
        <w:t xml:space="preserve">Abaker, I. A. A. (2020). Difficulties in Pronouncing English Diphthongs amongst Saudi University Students at Al‑Baha University in Saudi Arabia [Case study]. </w:t>
      </w:r>
      <w:r>
        <w:rPr>
          <w:rFonts w:ascii="Times New Roman Regular" w:hAnsi="Times New Roman Regular" w:cs="Times New Roman Regular"/>
          <w:i/>
          <w:iCs/>
          <w:sz w:val="24"/>
          <w:szCs w:val="24"/>
        </w:rPr>
        <w:t>Journal of Education in Black Sea Region, 10</w:t>
      </w:r>
      <w:r>
        <w:rPr>
          <w:rFonts w:ascii="Times New Roman Regular" w:hAnsi="Times New Roman Regular" w:cs="Times New Roman Regular"/>
          <w:sz w:val="24"/>
          <w:szCs w:val="24"/>
        </w:rPr>
        <w:t>(1).</w:t>
      </w:r>
      <w:r>
        <w:rPr>
          <w:rFonts w:ascii="Times New Roman Regular" w:hAnsi="Times New Roman Regular" w:cs="Times New Roman Regular"/>
          <w:sz w:val="24"/>
          <w:szCs w:val="24"/>
        </w:rPr>
        <w:t xml:space="preserve"> </w:t>
      </w:r>
      <w:hyperlink r:id="rId13" w:history="1">
        <w:r>
          <w:rPr>
            <w:rStyle w:val="Hyperlink"/>
            <w:rFonts w:ascii="Times New Roman Regular" w:hAnsi="Times New Roman Regular" w:cs="Times New Roman Regular"/>
            <w:sz w:val="24"/>
            <w:szCs w:val="24"/>
          </w:rPr>
          <w:t>https://doi.org/10.31578/jebs.v10i1.326</w:t>
        </w:r>
      </w:hyperlink>
    </w:p>
    <w:p w14:paraId="3BC458CB" w14:textId="77777777" w:rsidR="00A47DD3" w:rsidRDefault="00F04FB5">
      <w:pPr>
        <w:tabs>
          <w:tab w:val="left" w:pos="735"/>
        </w:tabs>
        <w:spacing w:after="120"/>
        <w:ind w:left="480" w:hangingChars="200" w:hanging="480"/>
        <w:jc w:val="both"/>
        <w:rPr>
          <w:rFonts w:ascii="Times New Roman Regular" w:hAnsi="Times New Roman Regular"/>
          <w:sz w:val="24"/>
          <w:szCs w:val="24"/>
        </w:rPr>
      </w:pPr>
      <w:r>
        <w:rPr>
          <w:rFonts w:ascii="Times New Roman Regular" w:hAnsi="Times New Roman Regular"/>
          <w:sz w:val="24"/>
          <w:szCs w:val="24"/>
        </w:rPr>
        <w:t>Alghazo, S., Jarrah, M., &amp; Al Salem, M. N. (2023). The efficacy of the type of instruction on second language pronunciation acquisition.</w:t>
      </w:r>
      <w:r>
        <w:rPr>
          <w:rFonts w:ascii="Times New Roman Italic" w:hAnsi="Times New Roman Italic" w:cs="Times New Roman Italic"/>
          <w:i/>
          <w:iCs/>
          <w:sz w:val="24"/>
          <w:szCs w:val="24"/>
        </w:rPr>
        <w:t xml:space="preserve"> Frontiers in Education,</w:t>
      </w:r>
      <w:r>
        <w:rPr>
          <w:rFonts w:ascii="Times New Roman Italic" w:hAnsi="Times New Roman Italic" w:cs="Times New Roman Italic"/>
          <w:i/>
          <w:iCs/>
          <w:sz w:val="24"/>
          <w:szCs w:val="24"/>
        </w:rPr>
        <w:t xml:space="preserve"> 8</w:t>
      </w:r>
      <w:r>
        <w:rPr>
          <w:rFonts w:ascii="Times New Roman Regular" w:hAnsi="Times New Roman Regular"/>
          <w:sz w:val="24"/>
          <w:szCs w:val="24"/>
        </w:rPr>
        <w:t xml:space="preserve">, Article 1182285. </w:t>
      </w:r>
      <w:hyperlink r:id="rId14" w:history="1">
        <w:r>
          <w:rPr>
            <w:rStyle w:val="Hyperlink"/>
            <w:rFonts w:ascii="Times New Roman Regular" w:hAnsi="Times New Roman Regular"/>
            <w:sz w:val="24"/>
            <w:szCs w:val="24"/>
          </w:rPr>
          <w:t>https://doi.org/10.3389/feduc.2023.1182285</w:t>
        </w:r>
      </w:hyperlink>
    </w:p>
    <w:p w14:paraId="768F3CAF" w14:textId="77777777" w:rsidR="00A47DD3" w:rsidRDefault="00F04FB5">
      <w:pPr>
        <w:tabs>
          <w:tab w:val="left" w:pos="735"/>
        </w:tabs>
        <w:spacing w:after="120"/>
        <w:ind w:left="480" w:hangingChars="200" w:hanging="480"/>
        <w:jc w:val="both"/>
        <w:rPr>
          <w:rFonts w:ascii="Times New Roman Regular" w:hAnsi="Times New Roman Regular"/>
          <w:sz w:val="24"/>
          <w:szCs w:val="24"/>
        </w:rPr>
      </w:pPr>
      <w:r>
        <w:rPr>
          <w:rFonts w:ascii="Times New Roman Regular" w:hAnsi="Times New Roman Regular"/>
          <w:sz w:val="24"/>
          <w:szCs w:val="24"/>
        </w:rPr>
        <w:t xml:space="preserve">Almalki, N., &amp; Algethami, G. (2022). An </w:t>
      </w:r>
      <w:r>
        <w:rPr>
          <w:rFonts w:ascii="Times New Roman Regular" w:hAnsi="Times New Roman Regular"/>
          <w:sz w:val="24"/>
          <w:szCs w:val="24"/>
        </w:rPr>
        <w:t>E</w:t>
      </w:r>
      <w:r>
        <w:rPr>
          <w:rFonts w:ascii="Times New Roman Regular" w:hAnsi="Times New Roman Regular"/>
          <w:sz w:val="24"/>
          <w:szCs w:val="24"/>
        </w:rPr>
        <w:t xml:space="preserve">xploration of the </w:t>
      </w:r>
      <w:r>
        <w:rPr>
          <w:rFonts w:ascii="Times New Roman Regular" w:hAnsi="Times New Roman Regular"/>
          <w:sz w:val="24"/>
          <w:szCs w:val="24"/>
        </w:rPr>
        <w:t>P</w:t>
      </w:r>
      <w:r>
        <w:rPr>
          <w:rFonts w:ascii="Times New Roman Regular" w:hAnsi="Times New Roman Regular"/>
          <w:sz w:val="24"/>
          <w:szCs w:val="24"/>
        </w:rPr>
        <w:t xml:space="preserve">otential </w:t>
      </w:r>
      <w:r>
        <w:rPr>
          <w:rFonts w:ascii="Times New Roman Regular" w:hAnsi="Times New Roman Regular"/>
          <w:sz w:val="24"/>
          <w:szCs w:val="24"/>
        </w:rPr>
        <w:t>B</w:t>
      </w:r>
      <w:r>
        <w:rPr>
          <w:rFonts w:ascii="Times New Roman Regular" w:hAnsi="Times New Roman Regular"/>
          <w:sz w:val="24"/>
          <w:szCs w:val="24"/>
        </w:rPr>
        <w:t xml:space="preserve">enefit of </w:t>
      </w:r>
      <w:r>
        <w:rPr>
          <w:rFonts w:ascii="Times New Roman Regular" w:hAnsi="Times New Roman Regular"/>
          <w:sz w:val="24"/>
          <w:szCs w:val="24"/>
        </w:rPr>
        <w:t>E</w:t>
      </w:r>
      <w:r>
        <w:rPr>
          <w:rFonts w:ascii="Times New Roman Regular" w:hAnsi="Times New Roman Regular"/>
          <w:sz w:val="24"/>
          <w:szCs w:val="24"/>
        </w:rPr>
        <w:t xml:space="preserve">xtensive </w:t>
      </w:r>
      <w:r>
        <w:rPr>
          <w:rFonts w:ascii="Times New Roman Regular" w:hAnsi="Times New Roman Regular"/>
          <w:sz w:val="24"/>
          <w:szCs w:val="24"/>
        </w:rPr>
        <w:t>L</w:t>
      </w:r>
      <w:r>
        <w:rPr>
          <w:rFonts w:ascii="Times New Roman Regular" w:hAnsi="Times New Roman Regular"/>
          <w:sz w:val="24"/>
          <w:szCs w:val="24"/>
        </w:rPr>
        <w:t xml:space="preserve">istening along with </w:t>
      </w:r>
      <w:r>
        <w:rPr>
          <w:rFonts w:ascii="Times New Roman Regular" w:hAnsi="Times New Roman Regular"/>
          <w:sz w:val="24"/>
          <w:szCs w:val="24"/>
        </w:rPr>
        <w:t>O</w:t>
      </w:r>
      <w:r>
        <w:rPr>
          <w:rFonts w:ascii="Times New Roman Regular" w:hAnsi="Times New Roman Regular"/>
          <w:sz w:val="24"/>
          <w:szCs w:val="24"/>
        </w:rPr>
        <w:t xml:space="preserve">rthography for </w:t>
      </w:r>
      <w:r>
        <w:rPr>
          <w:rFonts w:ascii="Times New Roman Regular" w:hAnsi="Times New Roman Regular"/>
          <w:sz w:val="24"/>
          <w:szCs w:val="24"/>
        </w:rPr>
        <w:t>I</w:t>
      </w:r>
      <w:r>
        <w:rPr>
          <w:rFonts w:ascii="Times New Roman Regular" w:hAnsi="Times New Roman Regular"/>
          <w:sz w:val="24"/>
          <w:szCs w:val="24"/>
        </w:rPr>
        <w:t>mprov</w:t>
      </w:r>
      <w:r>
        <w:rPr>
          <w:rFonts w:ascii="Times New Roman Regular" w:hAnsi="Times New Roman Regular"/>
          <w:sz w:val="24"/>
          <w:szCs w:val="24"/>
        </w:rPr>
        <w:t xml:space="preserve">ing EFL </w:t>
      </w:r>
      <w:r>
        <w:rPr>
          <w:rFonts w:ascii="Times New Roman Regular" w:hAnsi="Times New Roman Regular"/>
          <w:sz w:val="24"/>
          <w:szCs w:val="24"/>
        </w:rPr>
        <w:t>L</w:t>
      </w:r>
      <w:r>
        <w:rPr>
          <w:rFonts w:ascii="Times New Roman Regular" w:hAnsi="Times New Roman Regular"/>
          <w:sz w:val="24"/>
          <w:szCs w:val="24"/>
        </w:rPr>
        <w:t xml:space="preserve">earners’ pronunciation. </w:t>
      </w:r>
      <w:r>
        <w:rPr>
          <w:rFonts w:ascii="Times New Roman Italic" w:hAnsi="Times New Roman Italic" w:cs="Times New Roman Italic"/>
          <w:i/>
          <w:iCs/>
          <w:sz w:val="24"/>
          <w:szCs w:val="24"/>
        </w:rPr>
        <w:t>Asian‑Pacific Journal of Second and Foreign Language Education, 7,</w:t>
      </w:r>
      <w:r>
        <w:rPr>
          <w:rFonts w:ascii="Times New Roman Regular" w:hAnsi="Times New Roman Regular"/>
          <w:sz w:val="24"/>
          <w:szCs w:val="24"/>
        </w:rPr>
        <w:t xml:space="preserve"> Article 3. </w:t>
      </w:r>
      <w:hyperlink r:id="rId15" w:history="1">
        <w:r>
          <w:rPr>
            <w:rStyle w:val="Hyperlink"/>
            <w:rFonts w:ascii="Times New Roman Regular" w:hAnsi="Times New Roman Regular"/>
            <w:sz w:val="24"/>
            <w:szCs w:val="24"/>
          </w:rPr>
          <w:t>https://doi.org/10.1186/s40862‑022‑00132‑X</w:t>
        </w:r>
      </w:hyperlink>
    </w:p>
    <w:p w14:paraId="7017F6B7" w14:textId="77777777" w:rsidR="00A47DD3" w:rsidRDefault="00F04FB5">
      <w:pPr>
        <w:tabs>
          <w:tab w:val="left" w:pos="735"/>
          <w:tab w:val="left" w:pos="7920"/>
        </w:tabs>
        <w:spacing w:after="120"/>
        <w:ind w:left="480" w:hangingChars="200" w:hanging="480"/>
        <w:jc w:val="both"/>
        <w:rPr>
          <w:rFonts w:ascii="Times New Roman Regular" w:hAnsi="Times New Roman Regular" w:cs="Times New Roman Regular"/>
          <w:sz w:val="24"/>
          <w:szCs w:val="24"/>
        </w:rPr>
      </w:pPr>
      <w:r>
        <w:rPr>
          <w:rFonts w:ascii="Times New Roman Regular" w:hAnsi="Times New Roman Regular" w:cs="Times New Roman Regular"/>
          <w:sz w:val="24"/>
          <w:szCs w:val="24"/>
        </w:rPr>
        <w:t>Ammar, M. D., Hartono, R., &amp; Angraini, N. (</w:t>
      </w:r>
      <w:r>
        <w:rPr>
          <w:rFonts w:ascii="Times New Roman Regular" w:hAnsi="Times New Roman Regular" w:cs="Times New Roman Regular"/>
          <w:sz w:val="24"/>
          <w:szCs w:val="24"/>
        </w:rPr>
        <w:t>2021). English Pronunciation Problems Analysis Faced by English Education Students in The Second Semester at Indo Global Mandiri University</w:t>
      </w:r>
      <w:r>
        <w:rPr>
          <w:rFonts w:ascii="Times New Roman Regular" w:hAnsi="Times New Roman Regular" w:cs="Times New Roman Regular"/>
          <w:i/>
          <w:iCs/>
          <w:sz w:val="24"/>
          <w:szCs w:val="24"/>
        </w:rPr>
        <w:t>. Global Expert: Jurnal Bahasa Dan Sastra, 10</w:t>
      </w:r>
      <w:r>
        <w:rPr>
          <w:rFonts w:ascii="Times New Roman Regular" w:hAnsi="Times New Roman Regular" w:cs="Times New Roman Regular"/>
          <w:sz w:val="24"/>
          <w:szCs w:val="24"/>
        </w:rPr>
        <w:t xml:space="preserve">(1), 1–7. </w:t>
      </w:r>
      <w:hyperlink r:id="rId16" w:history="1">
        <w:r>
          <w:rPr>
            <w:rStyle w:val="Hyperlink"/>
            <w:rFonts w:ascii="Times New Roman Regular" w:hAnsi="Times New Roman Regular" w:cs="Times New Roman Regular"/>
            <w:sz w:val="24"/>
            <w:szCs w:val="24"/>
          </w:rPr>
          <w:t>https://d</w:t>
        </w:r>
        <w:r>
          <w:rPr>
            <w:rStyle w:val="Hyperlink"/>
            <w:rFonts w:ascii="Times New Roman Regular" w:hAnsi="Times New Roman Regular" w:cs="Times New Roman Regular"/>
            <w:sz w:val="24"/>
            <w:szCs w:val="24"/>
          </w:rPr>
          <w:t>oi.org/10.36982/jge.v10i1.2166</w:t>
        </w:r>
      </w:hyperlink>
    </w:p>
    <w:p w14:paraId="6260AF1B" w14:textId="77777777" w:rsidR="00A47DD3" w:rsidRDefault="00F04FB5">
      <w:pPr>
        <w:tabs>
          <w:tab w:val="left" w:pos="735"/>
          <w:tab w:val="left" w:pos="7920"/>
        </w:tabs>
        <w:spacing w:after="120"/>
        <w:ind w:left="480" w:hangingChars="200" w:hanging="480"/>
        <w:jc w:val="both"/>
        <w:rPr>
          <w:rFonts w:ascii="Times New Roman Regular" w:hAnsi="Times New Roman Regular"/>
          <w:sz w:val="24"/>
          <w:szCs w:val="24"/>
        </w:rPr>
      </w:pPr>
      <w:r>
        <w:rPr>
          <w:rFonts w:ascii="Times New Roman Regular" w:hAnsi="Times New Roman Regular"/>
          <w:sz w:val="24"/>
          <w:szCs w:val="24"/>
        </w:rPr>
        <w:t xml:space="preserve">Anwar, Y., &amp; Kalisa, P. (2020). Students’ problems in pronouncing non-existing English diphthongs in Indonesian language. </w:t>
      </w:r>
      <w:r>
        <w:rPr>
          <w:rFonts w:ascii="Times New Roman Italic" w:hAnsi="Times New Roman Italic" w:cs="Times New Roman Italic"/>
          <w:i/>
          <w:iCs/>
          <w:sz w:val="24"/>
          <w:szCs w:val="24"/>
        </w:rPr>
        <w:t>Language Circle: Journal of Language and Literature, 15</w:t>
      </w:r>
      <w:r>
        <w:rPr>
          <w:rFonts w:ascii="Times New Roman Regular" w:hAnsi="Times New Roman Regular"/>
          <w:sz w:val="24"/>
          <w:szCs w:val="24"/>
        </w:rPr>
        <w:t xml:space="preserve">(1), 17–25. </w:t>
      </w:r>
      <w:hyperlink r:id="rId17" w:history="1">
        <w:r>
          <w:rPr>
            <w:rStyle w:val="Hyperlink"/>
            <w:rFonts w:ascii="Times New Roman Regular" w:hAnsi="Times New Roman Regular"/>
            <w:sz w:val="24"/>
            <w:szCs w:val="24"/>
          </w:rPr>
          <w:t>https://doi.or</w:t>
        </w:r>
        <w:r>
          <w:rPr>
            <w:rStyle w:val="Hyperlink"/>
            <w:rFonts w:ascii="Times New Roman Regular" w:hAnsi="Times New Roman Regular"/>
            <w:sz w:val="24"/>
            <w:szCs w:val="24"/>
          </w:rPr>
          <w:t>g/10.15294/lc.v15i1.26261</w:t>
        </w:r>
      </w:hyperlink>
    </w:p>
    <w:p w14:paraId="322A9CEA" w14:textId="77777777" w:rsidR="00A47DD3" w:rsidRDefault="00F04FB5">
      <w:pPr>
        <w:tabs>
          <w:tab w:val="left" w:pos="0"/>
        </w:tabs>
        <w:spacing w:after="120"/>
        <w:ind w:left="480" w:rightChars="-22" w:right="-48" w:hangingChars="200" w:hanging="480"/>
        <w:jc w:val="both"/>
        <w:rPr>
          <w:rFonts w:ascii="Times New Roman Regular" w:eastAsia="SimSun" w:hAnsi="Times New Roman Regular" w:cs="Times New Roman Regular"/>
          <w:sz w:val="24"/>
          <w:szCs w:val="24"/>
        </w:rPr>
      </w:pPr>
      <w:r>
        <w:rPr>
          <w:rFonts w:ascii="Times New Roman Regular" w:eastAsia="-webkit-standard" w:hAnsi="Times New Roman Regular" w:cs="Times New Roman Regular"/>
          <w:sz w:val="24"/>
          <w:szCs w:val="24"/>
          <w:lang w:eastAsia="zh-CN" w:bidi="ar"/>
        </w:rPr>
        <w:t>Aziz, M., Widodo, Y. H., Mudofir, I., &amp; Wisudawati, A. F. (2023). </w:t>
      </w:r>
      <w:r>
        <w:rPr>
          <w:rStyle w:val="Emphasis"/>
          <w:rFonts w:ascii="Times New Roman Regular" w:eastAsia="SimSun" w:hAnsi="Times New Roman Regular" w:cs="Times New Roman Regular"/>
          <w:i w:val="0"/>
          <w:iCs w:val="0"/>
          <w:sz w:val="24"/>
          <w:szCs w:val="24"/>
          <w:lang w:eastAsia="zh-CN" w:bidi="ar"/>
        </w:rPr>
        <w:t>An error analysis of pronouncing English diphthongs</w:t>
      </w:r>
      <w:r>
        <w:rPr>
          <w:rFonts w:ascii="Times New Roman Regular" w:eastAsia="-webkit-standard" w:hAnsi="Times New Roman Regular" w:cs="Times New Roman Regular"/>
          <w:sz w:val="24"/>
          <w:szCs w:val="24"/>
          <w:lang w:eastAsia="zh-CN" w:bidi="ar"/>
        </w:rPr>
        <w:t>. </w:t>
      </w:r>
      <w:r>
        <w:rPr>
          <w:rStyle w:val="Emphasis"/>
          <w:rFonts w:ascii="Times New Roman Regular" w:eastAsia="SimSun" w:hAnsi="Times New Roman Regular" w:cs="Times New Roman Regular"/>
          <w:sz w:val="24"/>
          <w:szCs w:val="24"/>
          <w:lang w:eastAsia="zh-CN" w:bidi="ar"/>
        </w:rPr>
        <w:t>International Journal of Education and Literature</w:t>
      </w:r>
      <w:r>
        <w:rPr>
          <w:rFonts w:ascii="Times New Roman Regular" w:eastAsia="-webkit-standard" w:hAnsi="Times New Roman Regular" w:cs="Times New Roman Regular"/>
          <w:sz w:val="24"/>
          <w:szCs w:val="24"/>
          <w:lang w:eastAsia="zh-CN" w:bidi="ar"/>
        </w:rPr>
        <w:t>, </w:t>
      </w:r>
      <w:r>
        <w:rPr>
          <w:rStyle w:val="Strong"/>
          <w:rFonts w:ascii="Times New Roman Italic" w:eastAsia="SimSun" w:hAnsi="Times New Roman Italic" w:cs="Times New Roman Italic"/>
          <w:b w:val="0"/>
          <w:bCs w:val="0"/>
          <w:i/>
          <w:iCs/>
          <w:sz w:val="24"/>
          <w:szCs w:val="24"/>
          <w:lang w:eastAsia="zh-CN" w:bidi="ar"/>
        </w:rPr>
        <w:t>2</w:t>
      </w:r>
      <w:r>
        <w:rPr>
          <w:rFonts w:ascii="Times New Roman Regular" w:eastAsia="-webkit-standard" w:hAnsi="Times New Roman Regular" w:cs="Times New Roman Regular"/>
          <w:sz w:val="24"/>
          <w:szCs w:val="24"/>
          <w:lang w:eastAsia="zh-CN" w:bidi="ar"/>
        </w:rPr>
        <w:t>(2), 122–130.</w:t>
      </w:r>
      <w:r>
        <w:rPr>
          <w:rFonts w:ascii="Times New Roman Regular" w:eastAsia="-webkit-standard" w:hAnsi="Times New Roman Regular" w:cs="Times New Roman Regular"/>
          <w:color w:val="000000"/>
          <w:sz w:val="24"/>
          <w:szCs w:val="24"/>
          <w:lang w:eastAsia="zh-CN" w:bidi="ar"/>
        </w:rPr>
        <w:t xml:space="preserve"> </w:t>
      </w:r>
      <w:hyperlink r:id="rId18" w:history="1">
        <w:r>
          <w:rPr>
            <w:rStyle w:val="Hyperlink"/>
            <w:rFonts w:ascii="Times New Roman Regular" w:eastAsia="SimSun" w:hAnsi="Times New Roman Regular" w:cs="Times New Roman Regular"/>
            <w:sz w:val="24"/>
            <w:szCs w:val="24"/>
          </w:rPr>
          <w:t>https://ijel.amikveteran.ac.id/index.php/ijel/index</w:t>
        </w:r>
      </w:hyperlink>
    </w:p>
    <w:p w14:paraId="27D28B62" w14:textId="77777777" w:rsidR="00A47DD3" w:rsidRDefault="00F04FB5">
      <w:pPr>
        <w:tabs>
          <w:tab w:val="left" w:pos="0"/>
        </w:tabs>
        <w:ind w:left="476" w:hangingChars="200" w:hanging="476"/>
        <w:jc w:val="both"/>
        <w:rPr>
          <w:rFonts w:ascii="Times New Roman Regular" w:hAnsi="Times New Roman Regular"/>
          <w:spacing w:val="-2"/>
          <w:sz w:val="24"/>
          <w:szCs w:val="24"/>
          <w:lang w:eastAsia="zh-CN"/>
        </w:rPr>
      </w:pPr>
      <w:r>
        <w:rPr>
          <w:rFonts w:ascii="Times New Roman Regular" w:hAnsi="Times New Roman Regular"/>
          <w:spacing w:val="-2"/>
          <w:sz w:val="24"/>
          <w:szCs w:val="24"/>
          <w:lang w:eastAsia="zh-CN"/>
        </w:rPr>
        <w:t>Behr, N. S. (2022). English diphthong characteristics produced by Thai EFL learners: Individual practice using PRAAT. </w:t>
      </w:r>
      <w:r>
        <w:rPr>
          <w:rFonts w:ascii="Times New Roman Italic" w:hAnsi="Times New Roman Italic" w:cs="Times New Roman Italic"/>
          <w:i/>
          <w:iCs/>
          <w:spacing w:val="-2"/>
          <w:sz w:val="24"/>
          <w:szCs w:val="24"/>
          <w:lang w:eastAsia="zh-CN"/>
        </w:rPr>
        <w:t xml:space="preserve">Computer‑Assisted Language Learning Electronic </w:t>
      </w:r>
      <w:r>
        <w:rPr>
          <w:rFonts w:ascii="Times New Roman Italic" w:hAnsi="Times New Roman Italic" w:cs="Times New Roman Italic"/>
          <w:i/>
          <w:iCs/>
          <w:spacing w:val="-2"/>
          <w:sz w:val="24"/>
          <w:szCs w:val="24"/>
          <w:lang w:eastAsia="zh-CN"/>
        </w:rPr>
        <w:t>Journal, 23</w:t>
      </w:r>
      <w:r>
        <w:rPr>
          <w:rFonts w:ascii="Times New Roman Regular" w:hAnsi="Times New Roman Regular"/>
          <w:spacing w:val="-2"/>
          <w:sz w:val="24"/>
          <w:szCs w:val="24"/>
          <w:lang w:eastAsia="zh-CN"/>
        </w:rPr>
        <w:t xml:space="preserve">(1), 401–424.                                               </w:t>
      </w:r>
    </w:p>
    <w:p w14:paraId="533A084A" w14:textId="77777777" w:rsidR="00A47DD3" w:rsidRDefault="00F04FB5">
      <w:pPr>
        <w:tabs>
          <w:tab w:val="left" w:pos="0"/>
        </w:tabs>
        <w:spacing w:after="120"/>
        <w:ind w:leftChars="200" w:left="471" w:hangingChars="13" w:hanging="31"/>
        <w:jc w:val="both"/>
        <w:rPr>
          <w:rFonts w:ascii="Times New Roman Regular" w:hAnsi="Times New Roman Regular"/>
          <w:spacing w:val="-2"/>
          <w:sz w:val="24"/>
          <w:szCs w:val="24"/>
          <w:lang w:eastAsia="zh-CN"/>
        </w:rPr>
      </w:pPr>
      <w:r>
        <w:rPr>
          <w:rFonts w:ascii="Times New Roman Regular" w:hAnsi="Times New Roman Regular"/>
          <w:spacing w:val="-2"/>
          <w:sz w:val="24"/>
          <w:szCs w:val="24"/>
          <w:lang w:eastAsia="zh-CN"/>
        </w:rPr>
        <w:t xml:space="preserve"> </w:t>
      </w:r>
      <w:hyperlink r:id="rId19" w:history="1">
        <w:r>
          <w:rPr>
            <w:rStyle w:val="Hyperlink"/>
            <w:rFonts w:ascii="Times New Roman Regular" w:hAnsi="Times New Roman Regular"/>
            <w:spacing w:val="-2"/>
            <w:sz w:val="24"/>
            <w:szCs w:val="24"/>
            <w:lang w:eastAsia="zh-CN"/>
          </w:rPr>
          <w:t>https://callej.org/index.php/journal/article/view/386</w:t>
        </w:r>
      </w:hyperlink>
    </w:p>
    <w:p w14:paraId="745CE8FA" w14:textId="77777777" w:rsidR="00A47DD3" w:rsidRDefault="00F04FB5">
      <w:pPr>
        <w:ind w:left="480" w:hangingChars="200" w:hanging="480"/>
        <w:rPr>
          <w:rFonts w:ascii="Times New Roman Regular" w:hAnsi="Times New Roman Regular"/>
          <w:spacing w:val="-2"/>
          <w:sz w:val="24"/>
          <w:szCs w:val="24"/>
          <w:lang w:eastAsia="zh-CN"/>
        </w:rPr>
      </w:pPr>
      <w:r>
        <w:rPr>
          <w:rFonts w:ascii="Times New Roman" w:eastAsia="SimSun" w:hAnsi="Times New Roman" w:cs="Times New Roman"/>
          <w:color w:val="000000"/>
          <w:sz w:val="24"/>
          <w:szCs w:val="24"/>
          <w:lang w:eastAsia="zh-CN" w:bidi="ar"/>
        </w:rPr>
        <w:t xml:space="preserve">Crystal, D. (2003). </w:t>
      </w:r>
      <w:r>
        <w:rPr>
          <w:rFonts w:ascii="Times New Roman" w:eastAsia="SimSun" w:hAnsi="Times New Roman" w:cs="Times New Roman"/>
          <w:i/>
          <w:iCs/>
          <w:color w:val="000000"/>
          <w:sz w:val="24"/>
          <w:szCs w:val="24"/>
          <w:lang w:eastAsia="zh-CN" w:bidi="ar"/>
        </w:rPr>
        <w:t xml:space="preserve">English as a global language </w:t>
      </w:r>
      <w:r>
        <w:rPr>
          <w:rFonts w:ascii="Times New Roman" w:eastAsia="SimSun" w:hAnsi="Times New Roman" w:cs="Times New Roman"/>
          <w:color w:val="000000"/>
          <w:sz w:val="24"/>
          <w:szCs w:val="24"/>
          <w:lang w:eastAsia="zh-CN" w:bidi="ar"/>
        </w:rPr>
        <w:t>(2nd ed.).</w:t>
      </w:r>
      <w:r>
        <w:rPr>
          <w:rFonts w:ascii="Times New Roman" w:eastAsia="SimSun" w:hAnsi="Times New Roman" w:cs="Times New Roman"/>
          <w:color w:val="000000"/>
          <w:sz w:val="24"/>
          <w:szCs w:val="24"/>
          <w:lang w:eastAsia="zh-CN" w:bidi="ar"/>
        </w:rPr>
        <w:t xml:space="preserve"> Cambridge: Cambridge University Press.</w:t>
      </w:r>
    </w:p>
    <w:p w14:paraId="2B62C6D1" w14:textId="77777777" w:rsidR="00A47DD3" w:rsidRDefault="00F04FB5">
      <w:pPr>
        <w:tabs>
          <w:tab w:val="left" w:pos="0"/>
        </w:tabs>
        <w:spacing w:after="120"/>
        <w:ind w:left="480" w:hangingChars="200" w:hanging="480"/>
        <w:jc w:val="both"/>
        <w:rPr>
          <w:rFonts w:ascii="Times New Roman Regular" w:hAnsi="Times New Roman Regular" w:cs="Times New Roman Regular"/>
          <w:sz w:val="24"/>
          <w:szCs w:val="24"/>
        </w:rPr>
      </w:pPr>
      <w:r>
        <w:rPr>
          <w:rFonts w:ascii="Times New Roman Regular" w:hAnsi="Times New Roman Regular"/>
          <w:sz w:val="24"/>
          <w:szCs w:val="24"/>
        </w:rPr>
        <w:t>Dulay, H., Burt, M., &amp; Krashen, S. (1982).</w:t>
      </w:r>
      <w:r>
        <w:rPr>
          <w:rFonts w:ascii="Times New Roman Italic" w:hAnsi="Times New Roman Italic" w:cs="Times New Roman Italic"/>
          <w:i/>
          <w:iCs/>
          <w:sz w:val="24"/>
          <w:szCs w:val="24"/>
        </w:rPr>
        <w:t xml:space="preserve"> Language two.</w:t>
      </w:r>
      <w:r>
        <w:rPr>
          <w:rFonts w:ascii="Times New Roman Regular" w:hAnsi="Times New Roman Regular"/>
          <w:sz w:val="24"/>
          <w:szCs w:val="24"/>
        </w:rPr>
        <w:t xml:space="preserve"> Oxford University Press.</w:t>
      </w:r>
    </w:p>
    <w:p w14:paraId="07720D7B" w14:textId="77777777" w:rsidR="00A47DD3" w:rsidRDefault="00F04FB5">
      <w:pPr>
        <w:spacing w:after="120"/>
        <w:ind w:left="480" w:hangingChars="200" w:hanging="480"/>
        <w:jc w:val="both"/>
        <w:rPr>
          <w:rFonts w:ascii="Times New Roman Regular" w:hAnsi="Times New Roman Regular" w:cs="Times New Roman Regular"/>
          <w:spacing w:val="-2"/>
          <w:sz w:val="24"/>
          <w:szCs w:val="24"/>
        </w:rPr>
      </w:pPr>
      <w:r>
        <w:rPr>
          <w:rFonts w:ascii="Times New Roman Regular" w:hAnsi="Times New Roman Regular" w:cs="Times New Roman Regular"/>
          <w:sz w:val="24"/>
          <w:szCs w:val="24"/>
        </w:rPr>
        <w:t>EF English</w:t>
      </w:r>
      <w:r>
        <w:rPr>
          <w:rFonts w:ascii="Times New Roman Regular" w:hAnsi="Times New Roman Regular" w:cs="Times New Roman Regular"/>
          <w:spacing w:val="31"/>
          <w:sz w:val="24"/>
          <w:szCs w:val="24"/>
        </w:rPr>
        <w:t xml:space="preserve"> </w:t>
      </w:r>
      <w:r>
        <w:rPr>
          <w:rFonts w:ascii="Times New Roman Regular" w:hAnsi="Times New Roman Regular" w:cs="Times New Roman Regular"/>
          <w:sz w:val="24"/>
          <w:szCs w:val="24"/>
        </w:rPr>
        <w:t>Proficiency</w:t>
      </w:r>
      <w:r>
        <w:rPr>
          <w:rFonts w:ascii="Times New Roman Regular" w:hAnsi="Times New Roman Regular" w:cs="Times New Roman Regular"/>
          <w:spacing w:val="31"/>
          <w:sz w:val="24"/>
          <w:szCs w:val="24"/>
        </w:rPr>
        <w:t xml:space="preserve"> </w:t>
      </w:r>
      <w:r>
        <w:rPr>
          <w:rFonts w:ascii="Times New Roman Regular" w:hAnsi="Times New Roman Regular" w:cs="Times New Roman Regular"/>
          <w:sz w:val="24"/>
          <w:szCs w:val="24"/>
        </w:rPr>
        <w:t>Index.</w:t>
      </w:r>
      <w:r>
        <w:rPr>
          <w:rFonts w:ascii="Times New Roman Regular" w:hAnsi="Times New Roman Regular" w:cs="Times New Roman Regular"/>
          <w:spacing w:val="32"/>
          <w:sz w:val="24"/>
          <w:szCs w:val="24"/>
        </w:rPr>
        <w:t xml:space="preserve"> </w:t>
      </w:r>
      <w:r>
        <w:rPr>
          <w:rFonts w:ascii="Times New Roman Regular" w:hAnsi="Times New Roman Regular" w:cs="Times New Roman Regular"/>
          <w:sz w:val="24"/>
          <w:szCs w:val="24"/>
        </w:rPr>
        <w:t>(2023).</w:t>
      </w:r>
      <w:r>
        <w:rPr>
          <w:rFonts w:ascii="Times New Roman Regular" w:hAnsi="Times New Roman Regular" w:cs="Times New Roman Regular"/>
          <w:spacing w:val="31"/>
          <w:sz w:val="24"/>
          <w:szCs w:val="24"/>
        </w:rPr>
        <w:t xml:space="preserve"> </w:t>
      </w:r>
      <w:r>
        <w:rPr>
          <w:rFonts w:ascii="Times New Roman Regular" w:hAnsi="Times New Roman Regular" w:cs="Times New Roman Regular"/>
          <w:sz w:val="24"/>
          <w:szCs w:val="24"/>
        </w:rPr>
        <w:t>Indonesia</w:t>
      </w:r>
      <w:r>
        <w:rPr>
          <w:rFonts w:ascii="Times New Roman Regular" w:hAnsi="Times New Roman Regular" w:cs="Times New Roman Regular"/>
          <w:spacing w:val="31"/>
          <w:sz w:val="24"/>
          <w:szCs w:val="24"/>
        </w:rPr>
        <w:t xml:space="preserve"> </w:t>
      </w:r>
      <w:r>
        <w:rPr>
          <w:rFonts w:ascii="Times New Roman Regular" w:hAnsi="Times New Roman Regular" w:cs="Times New Roman Regular"/>
          <w:sz w:val="24"/>
          <w:szCs w:val="24"/>
        </w:rPr>
        <w:t>English</w:t>
      </w:r>
      <w:r>
        <w:rPr>
          <w:rFonts w:ascii="Times New Roman Regular" w:hAnsi="Times New Roman Regular" w:cs="Times New Roman Regular"/>
          <w:spacing w:val="31"/>
          <w:sz w:val="24"/>
          <w:szCs w:val="24"/>
        </w:rPr>
        <w:t xml:space="preserve"> </w:t>
      </w:r>
      <w:r>
        <w:rPr>
          <w:rFonts w:ascii="Times New Roman Regular" w:hAnsi="Times New Roman Regular" w:cs="Times New Roman Regular"/>
          <w:sz w:val="24"/>
          <w:szCs w:val="24"/>
        </w:rPr>
        <w:t>proficiency</w:t>
      </w:r>
      <w:r>
        <w:rPr>
          <w:rFonts w:ascii="Times New Roman Regular" w:hAnsi="Times New Roman Regular" w:cs="Times New Roman Regular"/>
          <w:spacing w:val="31"/>
          <w:sz w:val="24"/>
          <w:szCs w:val="24"/>
        </w:rPr>
        <w:t xml:space="preserve"> </w:t>
      </w:r>
      <w:r>
        <w:rPr>
          <w:rFonts w:ascii="Times New Roman Regular" w:hAnsi="Times New Roman Regular" w:cs="Times New Roman Regular"/>
          <w:spacing w:val="-2"/>
          <w:sz w:val="24"/>
          <w:szCs w:val="24"/>
        </w:rPr>
        <w:t xml:space="preserve">report. </w:t>
      </w:r>
      <w:r>
        <w:rPr>
          <w:rFonts w:ascii="Times New Roman Regular" w:hAnsi="Times New Roman Regular" w:cs="Times New Roman Regular"/>
          <w:sz w:val="24"/>
          <w:szCs w:val="24"/>
        </w:rPr>
        <w:t>Retrieved</w:t>
      </w:r>
      <w:r>
        <w:rPr>
          <w:rFonts w:ascii="Times New Roman Regular" w:hAnsi="Times New Roman Regular" w:cs="Times New Roman Regular"/>
          <w:spacing w:val="-2"/>
          <w:sz w:val="24"/>
          <w:szCs w:val="24"/>
        </w:rPr>
        <w:t xml:space="preserve"> </w:t>
      </w:r>
      <w:r>
        <w:rPr>
          <w:rFonts w:ascii="Times New Roman Regular" w:hAnsi="Times New Roman Regular" w:cs="Times New Roman Regular"/>
          <w:sz w:val="24"/>
          <w:szCs w:val="24"/>
        </w:rPr>
        <w:t>from</w:t>
      </w:r>
      <w:bookmarkStart w:id="3" w:name="_Ref508086603"/>
      <w:bookmarkEnd w:id="2"/>
      <w:r>
        <w:rPr>
          <w:rFonts w:ascii="Times New Roman Regular" w:hAnsi="Times New Roman Regular" w:cs="Times New Roman Regular"/>
          <w:sz w:val="24"/>
          <w:szCs w:val="24"/>
        </w:rPr>
        <w:t xml:space="preserve"> </w:t>
      </w:r>
      <w:hyperlink r:id="rId20" w:history="1">
        <w:r>
          <w:rPr>
            <w:rStyle w:val="Hyperlink"/>
            <w:rFonts w:ascii="Times New Roman Regular" w:hAnsi="Times New Roman Regular" w:cs="Times New Roman Regular"/>
            <w:spacing w:val="-2"/>
            <w:sz w:val="24"/>
            <w:szCs w:val="24"/>
          </w:rPr>
          <w:t>https://www.ef.com/epi</w:t>
        </w:r>
      </w:hyperlink>
      <w:r>
        <w:rPr>
          <w:rFonts w:ascii="Times New Roman Regular" w:hAnsi="Times New Roman Regular" w:cs="Times New Roman Regular"/>
          <w:spacing w:val="-2"/>
          <w:sz w:val="24"/>
          <w:szCs w:val="24"/>
        </w:rPr>
        <w:t xml:space="preserve">  </w:t>
      </w:r>
      <w:r>
        <w:rPr>
          <w:rFonts w:ascii="Times New Roman" w:eastAsia="SimSun" w:hAnsi="Times New Roman" w:cs="Times New Roman"/>
          <w:color w:val="000000"/>
          <w:sz w:val="24"/>
          <w:szCs w:val="24"/>
          <w:lang w:eastAsia="zh-CN" w:bidi="ar"/>
        </w:rPr>
        <w:t>[3 May  2025 at 08.00 pm]</w:t>
      </w:r>
    </w:p>
    <w:p w14:paraId="3D7BDB16" w14:textId="77777777" w:rsidR="00A47DD3" w:rsidRDefault="00F04FB5">
      <w:pPr>
        <w:tabs>
          <w:tab w:val="left" w:pos="0"/>
        </w:tabs>
        <w:spacing w:after="120"/>
        <w:ind w:left="480" w:hangingChars="200" w:hanging="480"/>
        <w:jc w:val="both"/>
        <w:rPr>
          <w:rFonts w:ascii="Times New Roman Regular" w:eastAsia="-webkit-standard" w:hAnsi="Times New Roman Regular"/>
          <w:color w:val="000000"/>
          <w:sz w:val="24"/>
          <w:szCs w:val="24"/>
          <w:lang w:eastAsia="zh-CN"/>
        </w:rPr>
      </w:pPr>
      <w:r>
        <w:rPr>
          <w:rStyle w:val="Strong"/>
          <w:rFonts w:ascii="Times New Roman Regular" w:eastAsia="SimSun" w:hAnsi="Times New Roman Regular" w:cs="Times New Roman Regular"/>
          <w:b w:val="0"/>
          <w:bCs w:val="0"/>
          <w:sz w:val="24"/>
          <w:szCs w:val="24"/>
          <w:lang w:eastAsia="zh-CN" w:bidi="ar"/>
        </w:rPr>
        <w:t>Firghy,</w:t>
      </w:r>
      <w:r>
        <w:rPr>
          <w:rStyle w:val="Strong"/>
          <w:rFonts w:ascii="Times New Roman Regular" w:eastAsia="SimSun" w:hAnsi="Times New Roman Regular" w:cs="Times New Roman Regular"/>
          <w:b w:val="0"/>
          <w:bCs w:val="0"/>
          <w:sz w:val="24"/>
          <w:szCs w:val="24"/>
          <w:lang w:eastAsia="zh-CN" w:bidi="ar"/>
        </w:rPr>
        <w:tab/>
        <w:t xml:space="preserve"> S. A. M., Bochari, S., Hastini, &amp; Mukrim.</w:t>
      </w:r>
      <w:r>
        <w:rPr>
          <w:rFonts w:ascii="Times New Roman Regular" w:eastAsia="-webkit-standard" w:hAnsi="Times New Roman Regular" w:cs="Times New Roman Regular"/>
          <w:sz w:val="24"/>
          <w:szCs w:val="24"/>
          <w:lang w:eastAsia="zh-CN" w:bidi="ar"/>
        </w:rPr>
        <w:t xml:space="preserve"> (2024). English </w:t>
      </w:r>
      <w:r>
        <w:rPr>
          <w:rFonts w:ascii="Times New Roman Regular" w:eastAsia="-webkit-standard" w:hAnsi="Times New Roman Regular" w:cs="Times New Roman Regular"/>
          <w:sz w:val="24"/>
          <w:szCs w:val="24"/>
          <w:lang w:eastAsia="zh-CN" w:bidi="ar"/>
        </w:rPr>
        <w:t>D</w:t>
      </w:r>
      <w:r>
        <w:rPr>
          <w:rFonts w:ascii="Times New Roman Regular" w:eastAsia="-webkit-standard" w:hAnsi="Times New Roman Regular" w:cs="Times New Roman Regular"/>
          <w:sz w:val="24"/>
          <w:szCs w:val="24"/>
          <w:lang w:eastAsia="zh-CN" w:bidi="ar"/>
        </w:rPr>
        <w:t xml:space="preserve">iphthongs and </w:t>
      </w:r>
      <w:r>
        <w:rPr>
          <w:rFonts w:ascii="Times New Roman Regular" w:eastAsia="-webkit-standard" w:hAnsi="Times New Roman Regular" w:cs="Times New Roman Regular"/>
          <w:sz w:val="24"/>
          <w:szCs w:val="24"/>
          <w:lang w:eastAsia="zh-CN" w:bidi="ar"/>
        </w:rPr>
        <w:t>S</w:t>
      </w:r>
      <w:r>
        <w:rPr>
          <w:rFonts w:ascii="Times New Roman Regular" w:eastAsia="-webkit-standard" w:hAnsi="Times New Roman Regular" w:cs="Times New Roman Regular"/>
          <w:sz w:val="24"/>
          <w:szCs w:val="24"/>
          <w:lang w:eastAsia="zh-CN" w:bidi="ar"/>
        </w:rPr>
        <w:t xml:space="preserve">tudents’ </w:t>
      </w:r>
      <w:r>
        <w:rPr>
          <w:rFonts w:ascii="Times New Roman Regular" w:eastAsia="-webkit-standard" w:hAnsi="Times New Roman Regular" w:cs="Times New Roman Regular"/>
          <w:sz w:val="24"/>
          <w:szCs w:val="24"/>
          <w:lang w:eastAsia="zh-CN" w:bidi="ar"/>
        </w:rPr>
        <w:t>P</w:t>
      </w:r>
      <w:r>
        <w:rPr>
          <w:rFonts w:ascii="Times New Roman Regular" w:eastAsia="-webkit-standard" w:hAnsi="Times New Roman Regular" w:cs="Times New Roman Regular"/>
          <w:sz w:val="24"/>
          <w:szCs w:val="24"/>
          <w:lang w:eastAsia="zh-CN" w:bidi="ar"/>
        </w:rPr>
        <w:t>erception: A phonological analysis. </w:t>
      </w:r>
      <w:r>
        <w:rPr>
          <w:rStyle w:val="Emphasis"/>
          <w:rFonts w:ascii="Times New Roman Regular" w:eastAsia="SimSun" w:hAnsi="Times New Roman Regular" w:cs="Times New Roman Regular"/>
          <w:sz w:val="24"/>
          <w:szCs w:val="24"/>
          <w:lang w:eastAsia="zh-CN" w:bidi="ar"/>
        </w:rPr>
        <w:t xml:space="preserve">Premise: Journal of English </w:t>
      </w:r>
      <w:r>
        <w:rPr>
          <w:rStyle w:val="Emphasis"/>
          <w:rFonts w:ascii="Times New Roman Regular" w:eastAsia="SimSun" w:hAnsi="Times New Roman Regular" w:cs="Times New Roman Regular"/>
          <w:sz w:val="24"/>
          <w:szCs w:val="24"/>
          <w:lang w:eastAsia="zh-CN" w:bidi="ar"/>
        </w:rPr>
        <w:t>Education and Applied Linguistics, 13</w:t>
      </w:r>
      <w:r>
        <w:rPr>
          <w:rFonts w:ascii="Times New Roman Regular" w:eastAsia="-webkit-standard" w:hAnsi="Times New Roman Regular" w:cs="Times New Roman Regular"/>
          <w:sz w:val="24"/>
          <w:szCs w:val="24"/>
          <w:lang w:eastAsia="zh-CN" w:bidi="ar"/>
        </w:rPr>
        <w:t xml:space="preserve">(1), 368–387. </w:t>
      </w:r>
      <w:r>
        <w:rPr>
          <w:rFonts w:ascii="Times New Roman Regular" w:eastAsia="-webkit-standard" w:hAnsi="Times New Roman Regular"/>
          <w:color w:val="000000"/>
          <w:sz w:val="24"/>
          <w:szCs w:val="24"/>
          <w:lang w:eastAsia="zh-CN"/>
        </w:rPr>
        <w:t xml:space="preserve"> </w:t>
      </w:r>
      <w:hyperlink r:id="rId21" w:history="1">
        <w:r>
          <w:rPr>
            <w:rStyle w:val="Hyperlink"/>
            <w:rFonts w:ascii="Times New Roman Regular" w:eastAsia="-webkit-standard" w:hAnsi="Times New Roman Regular"/>
            <w:sz w:val="24"/>
            <w:szCs w:val="24"/>
            <w:lang w:eastAsia="zh-CN"/>
          </w:rPr>
          <w:t>https://doi.org/10.24127/pj.v13i1.9218</w:t>
        </w:r>
      </w:hyperlink>
      <w:bookmarkStart w:id="4" w:name="_Ref508086821"/>
      <w:bookmarkEnd w:id="3"/>
    </w:p>
    <w:p w14:paraId="5390A5B2" w14:textId="77777777" w:rsidR="00A47DD3" w:rsidRDefault="00F04FB5">
      <w:pPr>
        <w:spacing w:after="120"/>
        <w:rPr>
          <w:rFonts w:ascii="Times New Roman Regular" w:hAnsi="Times New Roman Regular"/>
          <w:sz w:val="24"/>
          <w:szCs w:val="24"/>
        </w:rPr>
      </w:pPr>
      <w:r>
        <w:rPr>
          <w:rFonts w:ascii="Times New Roman" w:eastAsia="SimSun" w:hAnsi="Times New Roman" w:cs="Times New Roman"/>
          <w:color w:val="000000"/>
          <w:sz w:val="24"/>
          <w:szCs w:val="24"/>
          <w:lang w:eastAsia="zh-CN" w:bidi="ar"/>
        </w:rPr>
        <w:t xml:space="preserve">Fromkin, V. (2018). </w:t>
      </w:r>
      <w:r>
        <w:rPr>
          <w:rFonts w:ascii="Times New Roman" w:eastAsia="SimSun" w:hAnsi="Times New Roman" w:cs="Times New Roman"/>
          <w:i/>
          <w:iCs/>
          <w:color w:val="000000"/>
          <w:sz w:val="24"/>
          <w:szCs w:val="24"/>
          <w:lang w:eastAsia="zh-CN" w:bidi="ar"/>
        </w:rPr>
        <w:t xml:space="preserve">An introduction to language </w:t>
      </w:r>
      <w:r>
        <w:rPr>
          <w:rFonts w:ascii="Times New Roman" w:eastAsia="SimSun" w:hAnsi="Times New Roman" w:cs="Times New Roman"/>
          <w:color w:val="000000"/>
          <w:sz w:val="24"/>
          <w:szCs w:val="24"/>
          <w:lang w:eastAsia="zh-CN" w:bidi="ar"/>
        </w:rPr>
        <w:t>(11th ed). Cengage Learning.</w:t>
      </w:r>
    </w:p>
    <w:p w14:paraId="6F317B2C" w14:textId="77777777" w:rsidR="00A47DD3" w:rsidRDefault="00F04FB5">
      <w:pPr>
        <w:tabs>
          <w:tab w:val="left" w:pos="0"/>
        </w:tabs>
        <w:spacing w:after="120"/>
        <w:ind w:left="480" w:hangingChars="200" w:hanging="480"/>
        <w:jc w:val="both"/>
        <w:rPr>
          <w:rFonts w:ascii="Times New Roman Regular" w:hAnsi="Times New Roman Regular"/>
          <w:sz w:val="24"/>
          <w:szCs w:val="24"/>
        </w:rPr>
      </w:pPr>
      <w:r>
        <w:rPr>
          <w:rFonts w:ascii="Times New Roman Regular" w:hAnsi="Times New Roman Regular"/>
          <w:sz w:val="24"/>
          <w:szCs w:val="24"/>
        </w:rPr>
        <w:t xml:space="preserve">Hayes‑Harb, R., &amp; Barrios, S. (2021). The influence of orthography in second language phonological acquisition. </w:t>
      </w:r>
      <w:r>
        <w:rPr>
          <w:rFonts w:ascii="Times New Roman Italic" w:hAnsi="Times New Roman Italic" w:cs="Times New Roman Italic"/>
          <w:i/>
          <w:iCs/>
          <w:sz w:val="24"/>
          <w:szCs w:val="24"/>
        </w:rPr>
        <w:t>Language Teaching, 54</w:t>
      </w:r>
      <w:r>
        <w:rPr>
          <w:rFonts w:ascii="Times New Roman Regular" w:hAnsi="Times New Roman Regular"/>
          <w:sz w:val="24"/>
          <w:szCs w:val="24"/>
        </w:rPr>
        <w:t xml:space="preserve">(3), 297–326. </w:t>
      </w:r>
      <w:hyperlink r:id="rId22" w:history="1">
        <w:r>
          <w:rPr>
            <w:rStyle w:val="Hyperlink"/>
            <w:rFonts w:ascii="Times New Roman Regular" w:hAnsi="Times New Roman Regular"/>
            <w:sz w:val="24"/>
            <w:szCs w:val="24"/>
          </w:rPr>
          <w:t>https://doi.org/10.1017/S0261444820000658</w:t>
        </w:r>
      </w:hyperlink>
    </w:p>
    <w:p w14:paraId="584F3B32" w14:textId="77777777" w:rsidR="00A47DD3" w:rsidRDefault="00F04FB5">
      <w:pPr>
        <w:tabs>
          <w:tab w:val="left" w:pos="0"/>
        </w:tabs>
        <w:spacing w:after="120"/>
        <w:ind w:left="480" w:hangingChars="200" w:hanging="480"/>
        <w:jc w:val="both"/>
        <w:rPr>
          <w:rFonts w:ascii="Times New Roman Regular" w:hAnsi="Times New Roman Regular"/>
          <w:sz w:val="24"/>
          <w:szCs w:val="24"/>
        </w:rPr>
      </w:pPr>
      <w:r>
        <w:rPr>
          <w:rFonts w:ascii="Times New Roman Regular" w:hAnsi="Times New Roman Regular" w:cs="Times New Roman Regular"/>
          <w:sz w:val="24"/>
          <w:szCs w:val="24"/>
        </w:rPr>
        <w:t>Ladefoged</w:t>
      </w:r>
      <w:r>
        <w:rPr>
          <w:rFonts w:ascii="Times New Roman Regular" w:hAnsi="Times New Roman Regular" w:cs="Times New Roman Regular"/>
          <w:sz w:val="24"/>
          <w:szCs w:val="24"/>
        </w:rPr>
        <w:t xml:space="preserve">, P., &amp; Johnson, K. (2014). </w:t>
      </w:r>
      <w:r>
        <w:rPr>
          <w:rFonts w:ascii="Times New Roman Regular" w:hAnsi="Times New Roman Regular" w:cs="Times New Roman Regular"/>
          <w:i/>
          <w:iCs/>
          <w:sz w:val="24"/>
          <w:szCs w:val="24"/>
        </w:rPr>
        <w:t>A course in phonetics</w:t>
      </w:r>
      <w:r>
        <w:rPr>
          <w:rFonts w:ascii="Times New Roman Regular" w:hAnsi="Times New Roman Regular" w:cs="Times New Roman Regular"/>
          <w:sz w:val="24"/>
          <w:szCs w:val="24"/>
        </w:rPr>
        <w:t xml:space="preserve"> (7th ed.). Cengage Learning.</w:t>
      </w:r>
    </w:p>
    <w:p w14:paraId="729EE2E0" w14:textId="77777777" w:rsidR="00A47DD3" w:rsidRDefault="00F04FB5">
      <w:pPr>
        <w:spacing w:after="120"/>
        <w:ind w:left="480" w:hangingChars="200" w:hanging="480"/>
        <w:jc w:val="both"/>
        <w:rPr>
          <w:rFonts w:ascii="Times New Roman Regular" w:eastAsia="SimSun" w:hAnsi="Times New Roman Regular" w:cs="Times New Roman Regular"/>
          <w:color w:val="000000"/>
          <w:sz w:val="24"/>
          <w:szCs w:val="24"/>
          <w:lang w:eastAsia="zh-CN" w:bidi="ar"/>
        </w:rPr>
      </w:pPr>
      <w:r>
        <w:rPr>
          <w:rStyle w:val="Strong"/>
          <w:rFonts w:ascii="Times New Roman Regular" w:eastAsia="SimSun" w:hAnsi="Times New Roman Regular" w:cs="Times New Roman Regular"/>
          <w:b w:val="0"/>
          <w:bCs w:val="0"/>
          <w:sz w:val="24"/>
          <w:szCs w:val="24"/>
          <w:lang w:eastAsia="zh-CN" w:bidi="ar"/>
        </w:rPr>
        <w:lastRenderedPageBreak/>
        <w:t>Laxsmi, N. D.</w:t>
      </w:r>
      <w:r>
        <w:rPr>
          <w:rFonts w:ascii="Times New Roman Regular" w:eastAsia="-webkit-standard" w:hAnsi="Times New Roman Regular" w:cs="Times New Roman Regular"/>
          <w:sz w:val="24"/>
          <w:szCs w:val="24"/>
          <w:lang w:eastAsia="zh-CN" w:bidi="ar"/>
        </w:rPr>
        <w:t> (2020). </w:t>
      </w:r>
      <w:r>
        <w:rPr>
          <w:rStyle w:val="Emphasis"/>
          <w:rFonts w:ascii="Times New Roman Regular" w:eastAsia="SimSun" w:hAnsi="Times New Roman Regular" w:cs="Times New Roman Regular"/>
          <w:i w:val="0"/>
          <w:iCs w:val="0"/>
          <w:sz w:val="24"/>
          <w:szCs w:val="24"/>
          <w:lang w:eastAsia="zh-CN" w:bidi="ar"/>
        </w:rPr>
        <w:t xml:space="preserve">An error analysis on diphthong sounds made by the seventh semester students of English Education Study </w:t>
      </w:r>
      <w:r>
        <w:rPr>
          <w:rStyle w:val="Emphasis"/>
          <w:rFonts w:ascii="Times New Roman" w:eastAsia="SimSun" w:hAnsi="Times New Roman" w:cs="Times New Roman"/>
          <w:i w:val="0"/>
          <w:iCs w:val="0"/>
          <w:sz w:val="24"/>
          <w:szCs w:val="24"/>
          <w:lang w:eastAsia="zh-CN" w:bidi="ar"/>
        </w:rPr>
        <w:t xml:space="preserve"> </w:t>
      </w:r>
      <w:r>
        <w:rPr>
          <w:rFonts w:ascii="Times New Roman" w:hAnsi="Times New Roman" w:cs="Times New Roman"/>
          <w:sz w:val="24"/>
          <w:szCs w:val="24"/>
          <w:lang w:eastAsia="zh-CN"/>
        </w:rPr>
        <w:t>Program of  UIN Raden Intan Lampung in the academic</w:t>
      </w:r>
      <w:r>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year</w:t>
      </w:r>
      <w:r>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2019/2020.</w:t>
      </w:r>
      <w:r>
        <w:rPr>
          <w:rFonts w:ascii="Times New Roman" w:hAnsi="Times New Roman" w:cs="Times New Roman"/>
          <w:sz w:val="24"/>
          <w:szCs w:val="24"/>
          <w:lang w:eastAsia="zh-CN"/>
        </w:rPr>
        <w:t xml:space="preserve"> </w:t>
      </w:r>
      <w:hyperlink r:id="rId23" w:history="1">
        <w:r>
          <w:rPr>
            <w:rStyle w:val="Hyperlink"/>
            <w:rFonts w:ascii="Times New Roman Regular" w:eastAsia="SimSun" w:hAnsi="Times New Roman Regular" w:cs="Times New Roman Regular"/>
            <w:sz w:val="24"/>
            <w:szCs w:val="24"/>
            <w:lang w:eastAsia="zh-CN" w:bidi="ar"/>
          </w:rPr>
          <w:t>https://repo</w:t>
        </w:r>
        <w:r>
          <w:rPr>
            <w:rStyle w:val="Hyperlink"/>
            <w:rFonts w:ascii="Times New Roman Regular" w:eastAsia="SimSun" w:hAnsi="Times New Roman Regular" w:cs="Times New Roman Regular"/>
            <w:sz w:val="24"/>
            <w:szCs w:val="24"/>
            <w:lang w:eastAsia="zh-CN" w:bidi="ar"/>
          </w:rPr>
          <w:t>sitory.radenintan.ac.id/9202/1/A%20THESIS%202.</w:t>
        </w:r>
      </w:hyperlink>
      <w:r>
        <w:rPr>
          <w:rFonts w:ascii="Times New Roman Regular" w:eastAsia="SimSun" w:hAnsi="Times New Roman Regular" w:cs="Times New Roman Regular"/>
          <w:color w:val="000000"/>
          <w:sz w:val="24"/>
          <w:szCs w:val="24"/>
          <w:lang w:eastAsia="zh-CN" w:bidi="ar"/>
        </w:rPr>
        <w:t xml:space="preserve"> </w:t>
      </w:r>
      <w:r>
        <w:rPr>
          <w:rFonts w:ascii="Times New Roman" w:eastAsia="SimSun" w:hAnsi="Times New Roman" w:cs="Times New Roman"/>
          <w:color w:val="000000"/>
          <w:sz w:val="24"/>
          <w:szCs w:val="24"/>
          <w:lang w:eastAsia="zh-CN" w:bidi="ar"/>
        </w:rPr>
        <w:t>[11 June 2025 at 09.00 pm]</w:t>
      </w:r>
    </w:p>
    <w:p w14:paraId="547292ED" w14:textId="77777777" w:rsidR="00A47DD3" w:rsidRDefault="00F04FB5">
      <w:pPr>
        <w:tabs>
          <w:tab w:val="left" w:pos="0"/>
        </w:tabs>
        <w:spacing w:after="120"/>
        <w:ind w:left="480" w:hangingChars="200" w:hanging="480"/>
        <w:jc w:val="both"/>
        <w:rPr>
          <w:rFonts w:ascii="Times New Roman Regular" w:eastAsia="SimSun" w:hAnsi="Times New Roman Regular" w:cs="Times New Roman Regular"/>
          <w:sz w:val="24"/>
          <w:szCs w:val="24"/>
          <w:lang w:eastAsia="zh-CN"/>
        </w:rPr>
      </w:pPr>
      <w:r>
        <w:rPr>
          <w:rFonts w:ascii="Times New Roman Regular" w:eastAsia="SimSun" w:hAnsi="Times New Roman Regular" w:cs="Times New Roman Regular"/>
          <w:sz w:val="24"/>
          <w:szCs w:val="24"/>
          <w:lang w:eastAsia="zh-CN"/>
        </w:rPr>
        <w:t xml:space="preserve">Levis, </w:t>
      </w:r>
      <w:r>
        <w:rPr>
          <w:rFonts w:ascii="Times New Roman Regular" w:eastAsia="SimSun" w:hAnsi="Times New Roman Regular" w:cs="Times New Roman Regular"/>
          <w:sz w:val="24"/>
          <w:szCs w:val="24"/>
          <w:lang w:eastAsia="zh-CN"/>
        </w:rPr>
        <w:tab/>
        <w:t xml:space="preserve">J. M. (2018). </w:t>
      </w:r>
      <w:r>
        <w:rPr>
          <w:rFonts w:ascii="Times New Roman Regular" w:eastAsia="SimSun" w:hAnsi="Times New Roman Regular" w:cs="Times New Roman Regular"/>
          <w:i/>
          <w:iCs/>
          <w:sz w:val="24"/>
          <w:szCs w:val="24"/>
          <w:lang w:eastAsia="zh-CN"/>
        </w:rPr>
        <w:t>Intelligibility, oral communication, and the teaching of pronunciation.</w:t>
      </w:r>
      <w:r>
        <w:rPr>
          <w:rFonts w:ascii="Times New Roman Regular" w:eastAsia="SimSun" w:hAnsi="Times New Roman Regular" w:cs="Times New Roman Regular"/>
          <w:sz w:val="24"/>
          <w:szCs w:val="24"/>
          <w:lang w:eastAsia="zh-CN"/>
        </w:rPr>
        <w:t xml:space="preserve"> Cambridge University Press.</w:t>
      </w:r>
    </w:p>
    <w:p w14:paraId="4A7B6923" w14:textId="77777777" w:rsidR="00A47DD3" w:rsidRDefault="00F04FB5">
      <w:pPr>
        <w:tabs>
          <w:tab w:val="left" w:pos="0"/>
        </w:tabs>
        <w:spacing w:after="120"/>
        <w:ind w:left="480" w:hangingChars="200" w:hanging="480"/>
        <w:jc w:val="both"/>
        <w:rPr>
          <w:rFonts w:ascii="Times New Roman Regular" w:eastAsia="SimSun" w:hAnsi="Times New Roman Regular"/>
          <w:color w:val="000000"/>
          <w:sz w:val="24"/>
          <w:szCs w:val="24"/>
          <w:lang w:eastAsia="zh-CN"/>
        </w:rPr>
      </w:pPr>
      <w:r>
        <w:rPr>
          <w:rFonts w:ascii="Times New Roman Regular" w:eastAsia="SimSun" w:hAnsi="Times New Roman Regular"/>
          <w:sz w:val="24"/>
          <w:szCs w:val="24"/>
          <w:lang w:eastAsia="zh-CN"/>
        </w:rPr>
        <w:t xml:space="preserve">Listyani, E., Kurniawan, H., &amp; Thren, D. (2024). The influence of the mother tongue on English pronunciation: A case study on Indonesian EFL learners. </w:t>
      </w:r>
      <w:r>
        <w:rPr>
          <w:rFonts w:ascii="Times New Roman Italic" w:eastAsia="SimSun" w:hAnsi="Times New Roman Italic" w:cs="Times New Roman Italic"/>
          <w:i/>
          <w:iCs/>
          <w:sz w:val="24"/>
          <w:szCs w:val="24"/>
          <w:lang w:eastAsia="zh-CN"/>
        </w:rPr>
        <w:t>Journal of English Teaching, 10</w:t>
      </w:r>
      <w:r>
        <w:rPr>
          <w:rFonts w:ascii="Times New Roman Regular" w:eastAsia="SimSun" w:hAnsi="Times New Roman Regular"/>
          <w:sz w:val="24"/>
          <w:szCs w:val="24"/>
          <w:lang w:eastAsia="zh-CN"/>
        </w:rPr>
        <w:t xml:space="preserve">(1), 61–75. </w:t>
      </w:r>
      <w:hyperlink r:id="rId24" w:history="1">
        <w:r>
          <w:rPr>
            <w:rStyle w:val="Hyperlink"/>
            <w:rFonts w:ascii="Times New Roman Regular" w:eastAsia="SimSun" w:hAnsi="Times New Roman Regular"/>
            <w:sz w:val="24"/>
            <w:szCs w:val="24"/>
            <w:lang w:eastAsia="zh-CN"/>
          </w:rPr>
          <w:t>https://doi</w:t>
        </w:r>
        <w:r>
          <w:rPr>
            <w:rStyle w:val="Hyperlink"/>
            <w:rFonts w:ascii="Times New Roman Regular" w:eastAsia="SimSun" w:hAnsi="Times New Roman Regular"/>
            <w:sz w:val="24"/>
            <w:szCs w:val="24"/>
            <w:lang w:eastAsia="zh-CN"/>
          </w:rPr>
          <w:t>.org/10.33541/jet.v9i3.526</w:t>
        </w:r>
      </w:hyperlink>
    </w:p>
    <w:p w14:paraId="7B7D31C9" w14:textId="77777777" w:rsidR="00A47DD3" w:rsidRDefault="00F04FB5">
      <w:pPr>
        <w:tabs>
          <w:tab w:val="left" w:pos="0"/>
        </w:tabs>
        <w:spacing w:after="120"/>
        <w:ind w:left="480" w:hangingChars="200" w:hanging="480"/>
        <w:jc w:val="both"/>
        <w:rPr>
          <w:rFonts w:ascii="Times New Roman Regular" w:hAnsi="Times New Roman Regular"/>
          <w:sz w:val="24"/>
          <w:szCs w:val="24"/>
        </w:rPr>
      </w:pPr>
      <w:r>
        <w:rPr>
          <w:rFonts w:ascii="Times New Roman Regular" w:hAnsi="Times New Roman Regular"/>
          <w:sz w:val="24"/>
          <w:szCs w:val="24"/>
        </w:rPr>
        <w:t xml:space="preserve">Lubis, Y., Wulandari, R., Zuhra, R. M., Salsabila, H. A., &amp; Fadillah, F. (2022). Analysis of students phonological errors in pronouncing vowel sounds: A case study of English learners in Indonesia. </w:t>
      </w:r>
      <w:r>
        <w:rPr>
          <w:rFonts w:ascii="Times New Roman Italic" w:hAnsi="Times New Roman Italic" w:cs="Times New Roman Italic"/>
          <w:i/>
          <w:iCs/>
          <w:sz w:val="24"/>
          <w:szCs w:val="24"/>
        </w:rPr>
        <w:t xml:space="preserve">Sintaksis: Publikasi Para Ahli Bahasa dan Sastra Inggris, </w:t>
      </w:r>
      <w:r>
        <w:rPr>
          <w:rFonts w:ascii="Times New Roman Italic" w:hAnsi="Times New Roman Italic" w:cs="Times New Roman Italic"/>
          <w:i/>
          <w:iCs/>
          <w:sz w:val="24"/>
          <w:szCs w:val="24"/>
        </w:rPr>
        <w:t>2</w:t>
      </w:r>
      <w:r>
        <w:rPr>
          <w:rFonts w:ascii="Times New Roman Regular" w:hAnsi="Times New Roman Regular"/>
          <w:sz w:val="24"/>
          <w:szCs w:val="24"/>
        </w:rPr>
        <w:t>(3), 1–10.</w:t>
      </w:r>
      <w:r>
        <w:rPr>
          <w:rFonts w:ascii="Times New Roman Regular" w:hAnsi="Times New Roman Regular"/>
          <w:sz w:val="24"/>
          <w:szCs w:val="24"/>
        </w:rPr>
        <w:t xml:space="preserve"> </w:t>
      </w:r>
      <w:hyperlink r:id="rId25" w:history="1">
        <w:r>
          <w:rPr>
            <w:rStyle w:val="Hyperlink"/>
            <w:rFonts w:ascii="Times New Roman Regular" w:hAnsi="Times New Roman Regular"/>
            <w:sz w:val="24"/>
            <w:szCs w:val="24"/>
          </w:rPr>
          <w:t>https://doi.org/10.61132/sintaksis.v2i3.729</w:t>
        </w:r>
      </w:hyperlink>
    </w:p>
    <w:p w14:paraId="0CEBF691" w14:textId="77777777" w:rsidR="00A47DD3" w:rsidRDefault="00F04FB5">
      <w:pPr>
        <w:tabs>
          <w:tab w:val="left" w:pos="0"/>
        </w:tabs>
        <w:ind w:left="480" w:hangingChars="200" w:hanging="480"/>
        <w:jc w:val="both"/>
        <w:rPr>
          <w:rFonts w:ascii="Times New Roman Regular" w:hAnsi="Times New Roman Regular" w:cs="Times New Roman Regular"/>
          <w:sz w:val="24"/>
          <w:szCs w:val="24"/>
        </w:rPr>
      </w:pPr>
      <w:r>
        <w:rPr>
          <w:rFonts w:ascii="Times New Roman Regular" w:hAnsi="Times New Roman Regular" w:cs="Times New Roman Regular"/>
          <w:sz w:val="24"/>
          <w:szCs w:val="24"/>
        </w:rPr>
        <w:t xml:space="preserve">Mardhiyah, </w:t>
      </w:r>
      <w:r>
        <w:rPr>
          <w:rFonts w:ascii="Times New Roman Regular" w:hAnsi="Times New Roman Regular" w:cs="Times New Roman Regular"/>
          <w:sz w:val="24"/>
          <w:szCs w:val="24"/>
        </w:rPr>
        <w:tab/>
        <w:t xml:space="preserve">L. (2022). </w:t>
      </w:r>
      <w:r>
        <w:rPr>
          <w:rFonts w:ascii="Times New Roman Regular" w:hAnsi="Times New Roman Regular" w:cs="Times New Roman Regular"/>
          <w:i/>
          <w:iCs/>
          <w:sz w:val="24"/>
          <w:szCs w:val="24"/>
        </w:rPr>
        <w:t>Error analysis in pronouncing English diphthongs at the twelve grade students at MAN 1 Ngawi in academic year 2022/20</w:t>
      </w:r>
      <w:r>
        <w:rPr>
          <w:rFonts w:ascii="Times New Roman Regular" w:hAnsi="Times New Roman Regular" w:cs="Times New Roman Regular"/>
          <w:i/>
          <w:iCs/>
          <w:sz w:val="24"/>
          <w:szCs w:val="24"/>
        </w:rPr>
        <w:t>23 (Skripsi, Universitas Islam Negeri Raden Mas Said Surakarta).</w:t>
      </w:r>
      <w:r>
        <w:rPr>
          <w:rFonts w:ascii="Times New Roman Regular" w:hAnsi="Times New Roman Regular" w:cs="Times New Roman Regular"/>
          <w:i/>
          <w:iCs/>
          <w:color w:val="0000FF"/>
          <w:sz w:val="24"/>
          <w:szCs w:val="24"/>
        </w:rPr>
        <w:t xml:space="preserve"> </w:t>
      </w:r>
      <w:hyperlink r:id="rId26" w:history="1">
        <w:r>
          <w:rPr>
            <w:rStyle w:val="Hyperlink"/>
            <w:rFonts w:ascii="Times New Roman Regular" w:hAnsi="Times New Roman Regular" w:cs="Times New Roman Regular"/>
            <w:sz w:val="24"/>
            <w:szCs w:val="24"/>
          </w:rPr>
          <w:t>https://eprints.iain-surakarta.ac.id/3617/</w:t>
        </w:r>
      </w:hyperlink>
    </w:p>
    <w:p w14:paraId="535EC69B" w14:textId="77777777" w:rsidR="00A47DD3" w:rsidRDefault="00F04FB5">
      <w:pPr>
        <w:tabs>
          <w:tab w:val="left" w:pos="0"/>
        </w:tabs>
        <w:spacing w:after="120"/>
        <w:ind w:left="480" w:hangingChars="200" w:hanging="480"/>
        <w:jc w:val="both"/>
        <w:rPr>
          <w:rFonts w:ascii="Times New Roman Regular" w:hAnsi="Times New Roman Regular" w:cs="Times New Roman Regular"/>
          <w:sz w:val="24"/>
          <w:szCs w:val="24"/>
        </w:rPr>
      </w:pPr>
      <w:r>
        <w:rPr>
          <w:rFonts w:ascii="Times New Roman Regular" w:hAnsi="Times New Roman Regular" w:cs="Times New Roman Regular"/>
          <w:sz w:val="24"/>
          <w:szCs w:val="24"/>
        </w:rPr>
        <w:t>Miles,</w:t>
      </w:r>
      <w:r>
        <w:rPr>
          <w:rFonts w:ascii="Times New Roman Regular" w:hAnsi="Times New Roman Regular" w:cs="Times New Roman Regular"/>
          <w:sz w:val="24"/>
          <w:szCs w:val="24"/>
        </w:rPr>
        <w:tab/>
      </w:r>
      <w:r>
        <w:rPr>
          <w:rFonts w:ascii="Times New Roman Regular" w:hAnsi="Times New Roman Regular" w:cs="Times New Roman Regular"/>
          <w:sz w:val="24"/>
          <w:szCs w:val="24"/>
        </w:rPr>
        <w:t xml:space="preserve">M. B., Huberman, A. M., &amp; Saldaña, J. (2014). </w:t>
      </w:r>
      <w:r>
        <w:rPr>
          <w:rFonts w:ascii="Times New Roman Regular" w:hAnsi="Times New Roman Regular" w:cs="Times New Roman Regular"/>
          <w:i/>
          <w:iCs/>
          <w:sz w:val="24"/>
          <w:szCs w:val="24"/>
        </w:rPr>
        <w:t>Qualitative data analysis: A methods sourcebook</w:t>
      </w:r>
      <w:r>
        <w:rPr>
          <w:rFonts w:ascii="Times New Roman Regular" w:hAnsi="Times New Roman Regular" w:cs="Times New Roman Regular"/>
          <w:sz w:val="24"/>
          <w:szCs w:val="24"/>
        </w:rPr>
        <w:t xml:space="preserve"> (3rd ed.). SAGE Publications.</w:t>
      </w:r>
    </w:p>
    <w:p w14:paraId="75F60F68" w14:textId="77777777" w:rsidR="00A47DD3" w:rsidRDefault="00F04FB5">
      <w:pPr>
        <w:tabs>
          <w:tab w:val="left" w:pos="0"/>
        </w:tabs>
        <w:spacing w:after="120"/>
        <w:ind w:left="480" w:rightChars="-22" w:right="-48" w:hangingChars="200" w:hanging="480"/>
        <w:jc w:val="both"/>
        <w:rPr>
          <w:rFonts w:ascii="Times New Roman Regular" w:hAnsi="Times New Roman Regular"/>
          <w:sz w:val="24"/>
          <w:szCs w:val="24"/>
        </w:rPr>
      </w:pPr>
      <w:r>
        <w:rPr>
          <w:rFonts w:ascii="Times New Roman Regular" w:hAnsi="Times New Roman Regular"/>
          <w:sz w:val="24"/>
          <w:szCs w:val="24"/>
        </w:rPr>
        <w:t xml:space="preserve">Najeeb, D. (2024). Pronunciation Errors in English Diphthongs Among Kurdish EFL Students: An Academic Inquiry. </w:t>
      </w:r>
      <w:r>
        <w:rPr>
          <w:rFonts w:ascii="Times New Roman Italic" w:hAnsi="Times New Roman Italic" w:cs="Times New Roman Italic"/>
          <w:i/>
          <w:iCs/>
          <w:sz w:val="24"/>
          <w:szCs w:val="24"/>
        </w:rPr>
        <w:t>College of Basic Educ</w:t>
      </w:r>
      <w:r>
        <w:rPr>
          <w:rFonts w:ascii="Times New Roman Italic" w:hAnsi="Times New Roman Italic" w:cs="Times New Roman Italic"/>
          <w:i/>
          <w:iCs/>
          <w:sz w:val="24"/>
          <w:szCs w:val="24"/>
        </w:rPr>
        <w:t>ation Research Journal, 20</w:t>
      </w:r>
      <w:r>
        <w:rPr>
          <w:rFonts w:ascii="Times New Roman Regular" w:hAnsi="Times New Roman Regular"/>
          <w:sz w:val="24"/>
          <w:szCs w:val="24"/>
        </w:rPr>
        <w:t xml:space="preserve">(3). </w:t>
      </w:r>
      <w:hyperlink r:id="rId27" w:history="1">
        <w:r>
          <w:rPr>
            <w:rStyle w:val="Hyperlink"/>
            <w:rFonts w:ascii="Times New Roman Regular" w:hAnsi="Times New Roman Regular"/>
            <w:sz w:val="24"/>
            <w:szCs w:val="24"/>
          </w:rPr>
          <w:t>https://doi.org/10.33899/berj.2024.184862]</w:t>
        </w:r>
      </w:hyperlink>
    </w:p>
    <w:p w14:paraId="7BBA0695" w14:textId="77777777" w:rsidR="00A47DD3" w:rsidRDefault="00F04FB5">
      <w:pPr>
        <w:tabs>
          <w:tab w:val="left" w:pos="0"/>
        </w:tabs>
        <w:spacing w:after="120"/>
        <w:ind w:left="480" w:rightChars="-22" w:right="-48" w:hangingChars="200" w:hanging="480"/>
        <w:jc w:val="both"/>
        <w:rPr>
          <w:rFonts w:ascii="Times New Roman Regular" w:hAnsi="Times New Roman Regular"/>
          <w:sz w:val="24"/>
          <w:szCs w:val="24"/>
        </w:rPr>
      </w:pPr>
      <w:r>
        <w:rPr>
          <w:rFonts w:ascii="Times New Roman Regular" w:hAnsi="Times New Roman Regular"/>
          <w:sz w:val="24"/>
          <w:szCs w:val="24"/>
        </w:rPr>
        <w:t>Nguyen, L. T., Hung, B. P., Duong, U. T. T., &amp; Le, T. T. (2021). Teachers’ and learners’ beliefs about pronunciation instru</w:t>
      </w:r>
      <w:r>
        <w:rPr>
          <w:rFonts w:ascii="Times New Roman Regular" w:hAnsi="Times New Roman Regular"/>
          <w:sz w:val="24"/>
          <w:szCs w:val="24"/>
        </w:rPr>
        <w:t xml:space="preserve">ction in tertiary English as a foreign language education. </w:t>
      </w:r>
      <w:r>
        <w:rPr>
          <w:rFonts w:ascii="Times New Roman Italic" w:hAnsi="Times New Roman Italic" w:cs="Times New Roman Italic"/>
          <w:i/>
          <w:iCs/>
          <w:sz w:val="24"/>
          <w:szCs w:val="24"/>
        </w:rPr>
        <w:t>Frontiers in Psychology, 12</w:t>
      </w:r>
      <w:r>
        <w:rPr>
          <w:rFonts w:ascii="Times New Roman Regular" w:hAnsi="Times New Roman Regular"/>
          <w:sz w:val="24"/>
          <w:szCs w:val="24"/>
        </w:rPr>
        <w:t xml:space="preserve">, 739842. </w:t>
      </w:r>
      <w:hyperlink r:id="rId28" w:history="1">
        <w:r>
          <w:rPr>
            <w:rStyle w:val="Hyperlink"/>
            <w:rFonts w:ascii="Times New Roman Regular" w:hAnsi="Times New Roman Regular"/>
            <w:sz w:val="24"/>
            <w:szCs w:val="24"/>
          </w:rPr>
          <w:t>https://doi.org/10.3389/fpsyg.2021.739842</w:t>
        </w:r>
      </w:hyperlink>
    </w:p>
    <w:p w14:paraId="2A9B816F" w14:textId="77777777" w:rsidR="00A47DD3" w:rsidRDefault="00F04FB5">
      <w:pPr>
        <w:tabs>
          <w:tab w:val="left" w:pos="0"/>
        </w:tabs>
        <w:spacing w:after="120"/>
        <w:ind w:left="476" w:rightChars="-22" w:right="-48" w:hangingChars="200" w:hanging="476"/>
        <w:jc w:val="both"/>
        <w:rPr>
          <w:rStyle w:val="Hyperlink"/>
          <w:rFonts w:ascii="Times New Roman Regular" w:hAnsi="Times New Roman Regular"/>
          <w:color w:val="auto"/>
          <w:spacing w:val="-2"/>
          <w:sz w:val="24"/>
          <w:szCs w:val="24"/>
          <w:u w:val="none"/>
        </w:rPr>
      </w:pPr>
      <w:r>
        <w:rPr>
          <w:rFonts w:ascii="Times New Roman Regular" w:hAnsi="Times New Roman Regular"/>
          <w:spacing w:val="-2"/>
          <w:sz w:val="24"/>
          <w:szCs w:val="24"/>
        </w:rPr>
        <w:t>Pratiwi, D. R., &amp; Indrayani, L. M. (2021). Pronunciation err</w:t>
      </w:r>
      <w:r>
        <w:rPr>
          <w:rFonts w:ascii="Times New Roman Regular" w:hAnsi="Times New Roman Regular"/>
          <w:spacing w:val="-2"/>
          <w:sz w:val="24"/>
          <w:szCs w:val="24"/>
        </w:rPr>
        <w:t xml:space="preserve">or on English diphthongs made by EFL students. </w:t>
      </w:r>
      <w:r>
        <w:rPr>
          <w:rFonts w:ascii="Times New Roman Italic" w:hAnsi="Times New Roman Italic" w:cs="Times New Roman Italic"/>
          <w:i/>
          <w:iCs/>
          <w:spacing w:val="-2"/>
          <w:sz w:val="24"/>
          <w:szCs w:val="24"/>
        </w:rPr>
        <w:t>TEKNOSASTIK, 19</w:t>
      </w:r>
      <w:r>
        <w:rPr>
          <w:rFonts w:ascii="Times New Roman Regular" w:hAnsi="Times New Roman Regular"/>
          <w:spacing w:val="-2"/>
          <w:sz w:val="24"/>
          <w:szCs w:val="24"/>
        </w:rPr>
        <w:t>(1),</w:t>
      </w:r>
      <w:r>
        <w:rPr>
          <w:rFonts w:ascii="Times New Roman Regular" w:hAnsi="Times New Roman Regular"/>
          <w:spacing w:val="-2"/>
          <w:sz w:val="24"/>
          <w:szCs w:val="24"/>
        </w:rPr>
        <w:t xml:space="preserve"> </w:t>
      </w:r>
      <w:r>
        <w:rPr>
          <w:rFonts w:ascii="Times New Roman Regular" w:hAnsi="Times New Roman Regular"/>
          <w:spacing w:val="-2"/>
          <w:sz w:val="24"/>
          <w:szCs w:val="24"/>
        </w:rPr>
        <w:t>24</w:t>
      </w:r>
      <w:r>
        <w:rPr>
          <w:rFonts w:ascii="Times New Roman Regular" w:hAnsi="Times New Roman Regular"/>
          <w:sz w:val="24"/>
          <w:szCs w:val="24"/>
        </w:rPr>
        <w:t>–</w:t>
      </w:r>
      <w:r>
        <w:rPr>
          <w:rFonts w:ascii="Times New Roman Regular" w:hAnsi="Times New Roman Regular"/>
          <w:spacing w:val="-2"/>
          <w:sz w:val="24"/>
          <w:szCs w:val="24"/>
        </w:rPr>
        <w:t>30</w:t>
      </w:r>
      <w:r>
        <w:rPr>
          <w:rFonts w:ascii="Times New Roman Regular" w:hAnsi="Times New Roman Regular"/>
          <w:spacing w:val="-2"/>
          <w:sz w:val="24"/>
          <w:szCs w:val="24"/>
        </w:rPr>
        <w:t xml:space="preserve">. </w:t>
      </w:r>
      <w:hyperlink r:id="rId29" w:history="1">
        <w:r>
          <w:rPr>
            <w:rStyle w:val="Hyperlink"/>
            <w:rFonts w:ascii="Times New Roman Regular" w:hAnsi="Times New Roman Regular" w:cs="Times New Roman Regular"/>
          </w:rPr>
          <w:t>https://doi.org/10.33365/ts.v19i1.486</w:t>
        </w:r>
      </w:hyperlink>
      <w:bookmarkEnd w:id="4"/>
    </w:p>
    <w:p w14:paraId="2AC14A2E" w14:textId="77777777" w:rsidR="00A47DD3" w:rsidRDefault="00F04FB5">
      <w:pPr>
        <w:tabs>
          <w:tab w:val="left" w:pos="0"/>
        </w:tabs>
        <w:spacing w:after="120"/>
        <w:ind w:left="480" w:rightChars="-22" w:right="-48" w:hangingChars="200" w:hanging="480"/>
        <w:jc w:val="both"/>
        <w:rPr>
          <w:rFonts w:ascii="Times New Roman Regular" w:hAnsi="Times New Roman Regular"/>
          <w:sz w:val="24"/>
          <w:szCs w:val="24"/>
        </w:rPr>
      </w:pPr>
      <w:r>
        <w:rPr>
          <w:rFonts w:ascii="Times New Roman Regular" w:hAnsi="Times New Roman Regular"/>
          <w:sz w:val="24"/>
          <w:szCs w:val="24"/>
        </w:rPr>
        <w:t xml:space="preserve">Ramadhan, U. D., Wati, L., Marzuki, M. J., Usuluddin, U., &amp; Nazri, A. (2023). An analysis on students’ pronunciation error in English diphthong. BLAZE: </w:t>
      </w:r>
      <w:r>
        <w:rPr>
          <w:rFonts w:ascii="Times New Roman Italic" w:hAnsi="Times New Roman Italic" w:cs="Times New Roman Italic"/>
          <w:i/>
          <w:iCs/>
          <w:sz w:val="24"/>
          <w:szCs w:val="24"/>
        </w:rPr>
        <w:t>Jurnal Bahasa dan Sastra dalam Pendidikan Linguistik dan Pengembangan, 1</w:t>
      </w:r>
      <w:r>
        <w:rPr>
          <w:rFonts w:ascii="Times New Roman Regular" w:hAnsi="Times New Roman Regular"/>
          <w:sz w:val="24"/>
          <w:szCs w:val="24"/>
        </w:rPr>
        <w:t>(4), 38–51.</w:t>
      </w:r>
      <w:r>
        <w:rPr>
          <w:rFonts w:ascii="Times New Roman Regular" w:hAnsi="Times New Roman Regular"/>
          <w:color w:val="0000FF"/>
          <w:sz w:val="24"/>
          <w:szCs w:val="24"/>
        </w:rPr>
        <w:t xml:space="preserve"> </w:t>
      </w:r>
      <w:hyperlink r:id="rId30" w:history="1">
        <w:r>
          <w:rPr>
            <w:rStyle w:val="Hyperlink"/>
            <w:rFonts w:ascii="Times New Roman Regular" w:hAnsi="Times New Roman Regular"/>
            <w:sz w:val="24"/>
            <w:szCs w:val="24"/>
          </w:rPr>
          <w:t>https://doi.org/10.59841/blaze.v1i4.560</w:t>
        </w:r>
      </w:hyperlink>
    </w:p>
    <w:p w14:paraId="54478BCB" w14:textId="77777777" w:rsidR="00A47DD3" w:rsidRDefault="00F04FB5">
      <w:pPr>
        <w:tabs>
          <w:tab w:val="left" w:pos="0"/>
        </w:tabs>
        <w:spacing w:after="120"/>
        <w:ind w:left="480" w:rightChars="-22" w:right="-48" w:hangingChars="200" w:hanging="480"/>
        <w:jc w:val="both"/>
        <w:rPr>
          <w:rFonts w:ascii="Times New Roman Regular" w:hAnsi="Times New Roman Regular"/>
          <w:sz w:val="24"/>
          <w:szCs w:val="24"/>
        </w:rPr>
      </w:pPr>
      <w:r>
        <w:rPr>
          <w:rFonts w:ascii="Times New Roman Regular" w:hAnsi="Times New Roman Regular" w:cs="Times New Roman Regular"/>
          <w:sz w:val="24"/>
          <w:szCs w:val="24"/>
        </w:rPr>
        <w:t xml:space="preserve">Raghuram, M. (2022). </w:t>
      </w:r>
      <w:r>
        <w:rPr>
          <w:rFonts w:ascii="Times New Roman Regular" w:hAnsi="Times New Roman Regular"/>
          <w:sz w:val="24"/>
          <w:szCs w:val="24"/>
        </w:rPr>
        <w:t xml:space="preserve">Importance of linguistics in language learning. </w:t>
      </w:r>
      <w:r>
        <w:rPr>
          <w:rFonts w:ascii="Times New Roman Italic" w:hAnsi="Times New Roman Italic" w:cs="Times New Roman Italic"/>
          <w:i/>
          <w:iCs/>
          <w:sz w:val="24"/>
          <w:szCs w:val="24"/>
        </w:rPr>
        <w:t>Juni Khyat, 12</w:t>
      </w:r>
      <w:r>
        <w:rPr>
          <w:rFonts w:ascii="Times New Roman Regular" w:hAnsi="Times New Roman Regular"/>
          <w:sz w:val="24"/>
          <w:szCs w:val="24"/>
        </w:rPr>
        <w:t>(1)</w:t>
      </w:r>
      <w:r>
        <w:rPr>
          <w:rFonts w:ascii="Times New Roman Regular" w:hAnsi="Times New Roman Regular"/>
          <w:sz w:val="24"/>
          <w:szCs w:val="24"/>
        </w:rPr>
        <w:t>, 327</w:t>
      </w:r>
      <w:r>
        <w:rPr>
          <w:rFonts w:ascii="Times New Roman Regular" w:hAnsi="Times New Roman Regular"/>
          <w:sz w:val="24"/>
          <w:szCs w:val="24"/>
        </w:rPr>
        <w:t>–</w:t>
      </w:r>
      <w:r>
        <w:rPr>
          <w:rFonts w:ascii="Times New Roman Regular" w:hAnsi="Times New Roman Regular"/>
          <w:sz w:val="24"/>
          <w:szCs w:val="24"/>
        </w:rPr>
        <w:t>332.</w:t>
      </w:r>
    </w:p>
    <w:p w14:paraId="57CAD6B7" w14:textId="77777777" w:rsidR="00A47DD3" w:rsidRDefault="00F04FB5">
      <w:pPr>
        <w:tabs>
          <w:tab w:val="left" w:pos="0"/>
        </w:tabs>
        <w:spacing w:after="120"/>
        <w:ind w:left="480" w:rightChars="-22" w:right="-48" w:hangingChars="200" w:hanging="480"/>
        <w:jc w:val="both"/>
        <w:rPr>
          <w:rFonts w:ascii="Times New Roman Regular" w:hAnsi="Times New Roman Regular"/>
          <w:sz w:val="24"/>
          <w:szCs w:val="24"/>
        </w:rPr>
      </w:pPr>
      <w:r>
        <w:rPr>
          <w:rFonts w:ascii="Times New Roman Regular" w:hAnsi="Times New Roman Regular"/>
          <w:sz w:val="24"/>
          <w:szCs w:val="24"/>
        </w:rPr>
        <w:t xml:space="preserve">Saito, K., &amp; Plonsky, L. (2019). Effects of second language pronunciation teaching revisited: A meta-analysis. </w:t>
      </w:r>
      <w:r>
        <w:rPr>
          <w:rFonts w:ascii="Times New Roman Italic" w:hAnsi="Times New Roman Italic" w:cs="Times New Roman Italic"/>
          <w:i/>
          <w:iCs/>
          <w:sz w:val="24"/>
          <w:szCs w:val="24"/>
        </w:rPr>
        <w:t>Language Learning, 69</w:t>
      </w:r>
      <w:r>
        <w:rPr>
          <w:rFonts w:ascii="Times New Roman Regular" w:hAnsi="Times New Roman Regular"/>
          <w:sz w:val="24"/>
          <w:szCs w:val="24"/>
        </w:rPr>
        <w:t xml:space="preserve">(3), 652–708. </w:t>
      </w:r>
      <w:hyperlink r:id="rId31" w:history="1">
        <w:r>
          <w:rPr>
            <w:rStyle w:val="Hyperlink"/>
            <w:rFonts w:ascii="Times New Roman Regular" w:hAnsi="Times New Roman Regular"/>
            <w:sz w:val="24"/>
            <w:szCs w:val="24"/>
          </w:rPr>
          <w:t>https://doi.org/10.1111/lang.12345</w:t>
        </w:r>
      </w:hyperlink>
    </w:p>
    <w:p w14:paraId="1B9C20DF" w14:textId="77777777" w:rsidR="00A47DD3" w:rsidRDefault="00F04FB5">
      <w:pPr>
        <w:tabs>
          <w:tab w:val="left" w:pos="0"/>
        </w:tabs>
        <w:spacing w:after="120"/>
        <w:ind w:left="480" w:hangingChars="200" w:hanging="480"/>
        <w:jc w:val="both"/>
        <w:rPr>
          <w:rFonts w:ascii="Times New Roman Regular" w:hAnsi="Times New Roman Regular"/>
          <w:sz w:val="24"/>
          <w:szCs w:val="24"/>
        </w:rPr>
      </w:pPr>
      <w:r>
        <w:rPr>
          <w:rFonts w:ascii="Times New Roman Regular" w:hAnsi="Times New Roman Regular" w:cs="Times New Roman Regular"/>
          <w:sz w:val="24"/>
          <w:szCs w:val="24"/>
        </w:rPr>
        <w:t xml:space="preserve">Utari, D. M. (2024). </w:t>
      </w:r>
      <w:r>
        <w:rPr>
          <w:rFonts w:ascii="Times New Roman Regular" w:hAnsi="Times New Roman Regular" w:cs="Times New Roman Regular"/>
          <w:i/>
          <w:iCs/>
          <w:sz w:val="24"/>
          <w:szCs w:val="24"/>
        </w:rPr>
        <w:t>Err</w:t>
      </w:r>
      <w:r>
        <w:rPr>
          <w:rFonts w:ascii="Times New Roman Regular" w:hAnsi="Times New Roman Regular" w:cs="Times New Roman Regular"/>
          <w:i/>
          <w:iCs/>
          <w:sz w:val="24"/>
          <w:szCs w:val="24"/>
        </w:rPr>
        <w:t xml:space="preserve">or analysis on students’ diphthong pronunciation in reading poems at the fourth semester of the English </w:t>
      </w:r>
      <w:r>
        <w:rPr>
          <w:rFonts w:ascii="Times New Roman Italic" w:hAnsi="Times New Roman Italic" w:cs="Times New Roman Italic"/>
          <w:i/>
          <w:iCs/>
          <w:sz w:val="24"/>
          <w:szCs w:val="24"/>
        </w:rPr>
        <w:t xml:space="preserve">Language </w:t>
      </w:r>
      <w:r>
        <w:rPr>
          <w:sz w:val="24"/>
          <w:szCs w:val="24"/>
        </w:rPr>
        <w:tab/>
      </w:r>
      <w:r>
        <w:rPr>
          <w:rFonts w:ascii="Times New Roman Italic" w:hAnsi="Times New Roman Italic" w:cs="Times New Roman Italic"/>
          <w:i/>
          <w:iCs/>
          <w:sz w:val="24"/>
          <w:szCs w:val="24"/>
        </w:rPr>
        <w:t xml:space="preserve">Education Study </w:t>
      </w:r>
      <w:r>
        <w:rPr>
          <w:rFonts w:ascii="Times New Roman Regular" w:hAnsi="Times New Roman Regular" w:cs="Times New Roman Regular"/>
          <w:i/>
          <w:iCs/>
          <w:sz w:val="24"/>
          <w:szCs w:val="24"/>
        </w:rPr>
        <w:t xml:space="preserve">Program of  UIN  Raden Mas Said Surakarta in academic year 2023/2024 </w:t>
      </w:r>
      <w:r>
        <w:rPr>
          <w:rFonts w:ascii="Times New Roman Regular" w:hAnsi="Times New Roman Regular" w:cs="Times New Roman Regular"/>
          <w:sz w:val="24"/>
          <w:szCs w:val="24"/>
        </w:rPr>
        <w:t xml:space="preserve">(Skripsi, Universitas Islam Negeri </w:t>
      </w:r>
      <w:r>
        <w:rPr>
          <w:rFonts w:ascii="Times New Roman Regular" w:hAnsi="Times New Roman Regular" w:cs="Times New Roman Regular"/>
          <w:sz w:val="24"/>
          <w:szCs w:val="24"/>
        </w:rPr>
        <w:lastRenderedPageBreak/>
        <w:t>Raden Mas Said Surakar</w:t>
      </w:r>
      <w:r>
        <w:rPr>
          <w:rFonts w:ascii="Times New Roman Regular" w:hAnsi="Times New Roman Regular" w:cs="Times New Roman Regular"/>
          <w:sz w:val="24"/>
          <w:szCs w:val="24"/>
        </w:rPr>
        <w:t>ta).</w:t>
      </w:r>
      <w:r>
        <w:rPr>
          <w:sz w:val="24"/>
          <w:szCs w:val="24"/>
        </w:rPr>
        <w:t xml:space="preserve"> </w:t>
      </w:r>
      <w:r>
        <w:rPr>
          <w:rFonts w:ascii="Times New Roman Regular" w:hAnsi="Times New Roman Regular" w:cs="Times New Roman Regular"/>
          <w:sz w:val="24"/>
          <w:szCs w:val="24"/>
        </w:rPr>
        <w:t xml:space="preserve">Repositori IAIN Surakarta. </w:t>
      </w:r>
      <w:hyperlink r:id="rId32" w:history="1">
        <w:r>
          <w:rPr>
            <w:rStyle w:val="Hyperlink"/>
            <w:rFonts w:ascii="Times New Roman Regular" w:hAnsi="Times New Roman Regular"/>
            <w:sz w:val="24"/>
            <w:szCs w:val="24"/>
          </w:rPr>
          <w:t>https://eprints.iain-surakarta.ac.id/9187/1</w:t>
        </w:r>
      </w:hyperlink>
    </w:p>
    <w:p w14:paraId="4FA5BE30" w14:textId="77777777" w:rsidR="00A47DD3" w:rsidRDefault="00F04FB5">
      <w:r>
        <w:rPr>
          <w:rFonts w:ascii="Times New Roman" w:eastAsia="SimSun" w:hAnsi="Times New Roman" w:cs="Times New Roman"/>
          <w:color w:val="000000"/>
          <w:sz w:val="24"/>
          <w:szCs w:val="24"/>
          <w:lang w:eastAsia="zh-CN" w:bidi="ar"/>
        </w:rPr>
        <w:t xml:space="preserve">Yule, G. (2020). </w:t>
      </w:r>
      <w:r>
        <w:rPr>
          <w:rFonts w:ascii="Times New Roman" w:eastAsia="SimSun" w:hAnsi="Times New Roman" w:cs="Times New Roman"/>
          <w:i/>
          <w:iCs/>
          <w:color w:val="000000"/>
          <w:sz w:val="24"/>
          <w:szCs w:val="24"/>
          <w:lang w:eastAsia="zh-CN" w:bidi="ar"/>
        </w:rPr>
        <w:t xml:space="preserve">The study of language </w:t>
      </w:r>
      <w:r>
        <w:rPr>
          <w:rFonts w:ascii="Times New Roman" w:eastAsia="SimSun" w:hAnsi="Times New Roman" w:cs="Times New Roman"/>
          <w:color w:val="000000"/>
          <w:sz w:val="24"/>
          <w:szCs w:val="24"/>
          <w:lang w:eastAsia="zh-CN" w:bidi="ar"/>
        </w:rPr>
        <w:t>(7th ed.). Cambridge University Press.</w:t>
      </w:r>
    </w:p>
    <w:p w14:paraId="247E139A" w14:textId="77777777" w:rsidR="00A47DD3" w:rsidRDefault="00A47DD3">
      <w:pPr>
        <w:tabs>
          <w:tab w:val="left" w:pos="0"/>
        </w:tabs>
        <w:spacing w:after="120"/>
        <w:ind w:left="480" w:hangingChars="200" w:hanging="480"/>
        <w:jc w:val="both"/>
        <w:rPr>
          <w:rFonts w:ascii="Times New Roman Regular" w:hAnsi="Times New Roman Regular"/>
          <w:sz w:val="24"/>
          <w:szCs w:val="24"/>
        </w:rPr>
      </w:pPr>
    </w:p>
    <w:p w14:paraId="13C2BE75" w14:textId="77777777" w:rsidR="00A47DD3" w:rsidRDefault="00A47DD3">
      <w:pPr>
        <w:tabs>
          <w:tab w:val="left" w:pos="0"/>
        </w:tabs>
        <w:spacing w:after="120"/>
        <w:ind w:left="480" w:hangingChars="200" w:hanging="480"/>
        <w:jc w:val="both"/>
        <w:rPr>
          <w:rFonts w:ascii="Times New Roman Regular" w:hAnsi="Times New Roman Regular"/>
          <w:sz w:val="24"/>
          <w:szCs w:val="24"/>
        </w:rPr>
      </w:pPr>
    </w:p>
    <w:p w14:paraId="31115B3B" w14:textId="77777777" w:rsidR="00A47DD3" w:rsidRDefault="00A47DD3">
      <w:pPr>
        <w:tabs>
          <w:tab w:val="left" w:pos="0"/>
        </w:tabs>
        <w:spacing w:after="120"/>
        <w:ind w:left="476" w:rightChars="-22" w:right="-48" w:hangingChars="200" w:hanging="476"/>
        <w:jc w:val="both"/>
        <w:rPr>
          <w:rStyle w:val="Hyperlink"/>
          <w:rFonts w:ascii="Times New Roman Regular" w:hAnsi="Times New Roman Regular"/>
          <w:color w:val="auto"/>
          <w:spacing w:val="-2"/>
          <w:sz w:val="24"/>
          <w:szCs w:val="24"/>
          <w:u w:val="none"/>
        </w:rPr>
      </w:pPr>
    </w:p>
    <w:sectPr w:rsidR="00A47DD3" w:rsidSect="00B673F3">
      <w:headerReference w:type="default" r:id="rId33"/>
      <w:footerReference w:type="default" r:id="rId34"/>
      <w:pgSz w:w="11906" w:h="16838"/>
      <w:pgMar w:top="1817" w:right="1440" w:bottom="1440" w:left="1440" w:header="450" w:footer="720" w:gutter="0"/>
      <w:pgNumType w:start="1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1A89EC" w14:textId="77777777" w:rsidR="00F04FB5" w:rsidRDefault="00F04FB5">
      <w:pPr>
        <w:spacing w:line="240" w:lineRule="auto"/>
      </w:pPr>
      <w:r>
        <w:separator/>
      </w:r>
    </w:p>
  </w:endnote>
  <w:endnote w:type="continuationSeparator" w:id="0">
    <w:p w14:paraId="478B4E5F" w14:textId="77777777" w:rsidR="00F04FB5" w:rsidRDefault="00F04FB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DejaVu Sans">
    <w:altName w:val="Verdana"/>
    <w:charset w:val="00"/>
    <w:family w:val="roman"/>
    <w:pitch w:val="default"/>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New Roman Bold">
    <w:panose1 w:val="02020803070505020304"/>
    <w:charset w:val="00"/>
    <w:family w:val="auto"/>
    <w:pitch w:val="default"/>
    <w:sig w:usb0="E0000AFF" w:usb1="00007843" w:usb2="00000001" w:usb3="00000000" w:csb0="400001BF" w:csb1="DFF70000"/>
  </w:font>
  <w:font w:name="Times New Roman Italic">
    <w:panose1 w:val="02020503050405090304"/>
    <w:charset w:val="00"/>
    <w:family w:val="auto"/>
    <w:pitch w:val="default"/>
    <w:sig w:usb0="E0000AFF" w:usb1="00007843" w:usb2="00000001" w:usb3="00000000" w:csb0="400001BF" w:csb1="DFF70000"/>
  </w:font>
  <w:font w:name="TimesNewRomanPS-BoldMT">
    <w:altName w:val="Times New Roman"/>
    <w:charset w:val="00"/>
    <w:family w:val="auto"/>
    <w:pitch w:val="default"/>
    <w:sig w:usb0="E0000AFF" w:usb1="00007843" w:usb2="00000001" w:usb3="00000000" w:csb0="400001BF" w:csb1="DFF70000"/>
  </w:font>
  <w:font w:name="-webkit-standard">
    <w:altName w:val="Calibri"/>
    <w:charset w:val="00"/>
    <w:family w:val="auto"/>
    <w:pitch w:val="default"/>
  </w:font>
  <w:font w:name="Times New Roman Regular">
    <w:altName w:val="Times New Roman"/>
    <w:charset w:val="00"/>
    <w:family w:val="auto"/>
    <w:pitch w:val="default"/>
    <w:sig w:usb0="E0000AFF" w:usb1="00007843" w:usb2="00000001" w:usb3="00000000" w:csb0="400001BF" w:csb1="DFF7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79021055"/>
      <w:docPartObj>
        <w:docPartGallery w:val="Page Numbers (Bottom of Page)"/>
        <w:docPartUnique/>
      </w:docPartObj>
    </w:sdtPr>
    <w:sdtEndPr>
      <w:rPr>
        <w:color w:val="7F7F7F" w:themeColor="background1" w:themeShade="7F"/>
        <w:spacing w:val="60"/>
      </w:rPr>
    </w:sdtEndPr>
    <w:sdtContent>
      <w:p w14:paraId="1BBC5B30" w14:textId="2433DD10" w:rsidR="00B673F3" w:rsidRDefault="00B673F3">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649A4945" w14:textId="77777777" w:rsidR="00A47DD3" w:rsidRDefault="00A47DD3">
    <w:pPr>
      <w:pStyle w:val="Footer"/>
      <w:pBdr>
        <w:top w:val="single" w:sz="4" w:space="1" w:color="D9D9D9" w:themeColor="background1" w:themeShade="D9"/>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6D81385" w14:textId="77777777" w:rsidR="00F04FB5" w:rsidRDefault="00F04FB5">
      <w:pPr>
        <w:spacing w:after="0"/>
      </w:pPr>
      <w:r>
        <w:separator/>
      </w:r>
    </w:p>
  </w:footnote>
  <w:footnote w:type="continuationSeparator" w:id="0">
    <w:p w14:paraId="712F1EB1" w14:textId="77777777" w:rsidR="00F04FB5" w:rsidRDefault="00F04FB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0355C5" w14:textId="77777777" w:rsidR="00A47DD3" w:rsidRDefault="00F04FB5">
    <w:pPr>
      <w:pStyle w:val="Header"/>
      <w:pBdr>
        <w:bottom w:val="single" w:sz="12" w:space="1" w:color="auto"/>
      </w:pBdr>
      <w:rPr>
        <w:rFonts w:ascii="Times New Roman" w:hAnsi="Times New Roman" w:cs="Times New Roman"/>
      </w:rPr>
    </w:pPr>
    <w:r>
      <w:rPr>
        <w:rFonts w:ascii="Times New Roman" w:hAnsi="Times New Roman" w:cs="Times New Roman"/>
        <w:noProof/>
      </w:rPr>
      <w:drawing>
        <wp:inline distT="0" distB="0" distL="0" distR="0" wp14:anchorId="4EAF4648" wp14:editId="35280C60">
          <wp:extent cx="5731510" cy="63627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
                  <a:stretch>
                    <a:fillRect/>
                  </a:stretch>
                </pic:blipFill>
                <pic:spPr>
                  <a:xfrm>
                    <a:off x="0" y="0"/>
                    <a:ext cx="5731510" cy="636270"/>
                  </a:xfrm>
                  <a:prstGeom prst="rect">
                    <a:avLst/>
                  </a:prstGeom>
                </pic:spPr>
              </pic:pic>
            </a:graphicData>
          </a:graphic>
        </wp:inline>
      </w:drawing>
    </w:r>
  </w:p>
  <w:p w14:paraId="76FE27C0" w14:textId="77777777" w:rsidR="00A47DD3" w:rsidRDefault="00F04FB5">
    <w:pPr>
      <w:pStyle w:val="Header"/>
      <w:pBdr>
        <w:bottom w:val="single" w:sz="12" w:space="1" w:color="auto"/>
      </w:pBdr>
      <w:jc w:val="center"/>
      <w:rPr>
        <w:rFonts w:ascii="Times New Roman" w:hAnsi="Times New Roman" w:cs="Times New Roman"/>
        <w:sz w:val="18"/>
        <w:szCs w:val="18"/>
      </w:rPr>
    </w:pPr>
    <w:r>
      <w:rPr>
        <w:rFonts w:ascii="Times New Roman" w:hAnsi="Times New Roman" w:cs="Times New Roman"/>
        <w:sz w:val="18"/>
        <w:szCs w:val="18"/>
      </w:rPr>
      <w:t xml:space="preserve">English Language </w:t>
    </w:r>
    <w:r>
      <w:rPr>
        <w:rFonts w:ascii="Times New Roman" w:hAnsi="Times New Roman" w:cs="Times New Roman"/>
        <w:sz w:val="18"/>
        <w:szCs w:val="18"/>
      </w:rPr>
      <w:t>Education Study Program, FKIP Universitas Lambung Mangkurat Banjarmasin</w:t>
    </w:r>
  </w:p>
  <w:p w14:paraId="0F47F201" w14:textId="31D0B129" w:rsidR="00A47DD3" w:rsidRDefault="0009688F">
    <w:pPr>
      <w:pStyle w:val="Header"/>
      <w:pBdr>
        <w:bottom w:val="single" w:sz="12" w:space="1" w:color="auto"/>
      </w:pBdr>
      <w:jc w:val="center"/>
      <w:rPr>
        <w:rFonts w:ascii="Times New Roman" w:hAnsi="Times New Roman" w:cs="Times New Roman"/>
        <w:b/>
        <w:bCs/>
        <w:sz w:val="18"/>
        <w:szCs w:val="18"/>
      </w:rPr>
    </w:pPr>
    <w:r w:rsidRPr="001D4817">
      <w:rPr>
        <w:rFonts w:ascii="Times New Roman" w:hAnsi="Times New Roman" w:cs="Times New Roman"/>
        <w:b/>
        <w:bCs/>
        <w:sz w:val="18"/>
        <w:szCs w:val="18"/>
      </w:rPr>
      <w:t xml:space="preserve">Volume </w:t>
    </w:r>
    <w:r>
      <w:rPr>
        <w:rFonts w:ascii="Times New Roman" w:hAnsi="Times New Roman" w:cs="Times New Roman"/>
        <w:b/>
        <w:bCs/>
        <w:sz w:val="18"/>
        <w:szCs w:val="18"/>
      </w:rPr>
      <w:t>9</w:t>
    </w:r>
    <w:r w:rsidRPr="001D4817">
      <w:rPr>
        <w:rFonts w:ascii="Times New Roman" w:hAnsi="Times New Roman" w:cs="Times New Roman"/>
        <w:b/>
        <w:bCs/>
        <w:sz w:val="18"/>
        <w:szCs w:val="18"/>
      </w:rPr>
      <w:t xml:space="preserve"> Number 1 202</w:t>
    </w:r>
    <w:r>
      <w:rPr>
        <w:rFonts w:ascii="Times New Roman" w:hAnsi="Times New Roman" w:cs="Times New Roman"/>
        <w:b/>
        <w:bCs/>
        <w:sz w:val="18"/>
        <w:szCs w:val="18"/>
      </w:rPr>
      <w:t>6</w:t>
    </w:r>
    <w:r w:rsidR="00F04FB5">
      <w:rPr>
        <w:rFonts w:ascii="Times New Roman" w:hAnsi="Times New Roman" w:cs="Times New Roman"/>
        <w:b/>
        <w:bCs/>
        <w:sz w:val="18"/>
        <w:szCs w:val="18"/>
      </w:rPr>
      <w:t xml:space="preserve"> </w:t>
    </w:r>
  </w:p>
  <w:p w14:paraId="561BD093" w14:textId="77777777" w:rsidR="00A47DD3" w:rsidRDefault="00A47DD3">
    <w:pPr>
      <w:pStyle w:val="Header"/>
      <w:jc w:val="cent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EDF4C0D6"/>
    <w:multiLevelType w:val="singleLevel"/>
    <w:tmpl w:val="EDF4C0D6"/>
    <w:lvl w:ilvl="0">
      <w:start w:val="1"/>
      <w:numFmt w:val="decimal"/>
      <w:suff w:val="space"/>
      <w:lvlText w:val="%1."/>
      <w:lvlJc w:val="left"/>
    </w:lvl>
  </w:abstractNum>
  <w:abstractNum w:abstractNumId="1" w15:restartNumberingAfterBreak="0">
    <w:nsid w:val="4F7A0651"/>
    <w:multiLevelType w:val="singleLevel"/>
    <w:tmpl w:val="4F7A0651"/>
    <w:lvl w:ilvl="0">
      <w:start w:val="1"/>
      <w:numFmt w:val="decimal"/>
      <w:lvlText w:val="%1."/>
      <w:lvlJc w:val="left"/>
      <w:pPr>
        <w:tabs>
          <w:tab w:val="left" w:pos="425"/>
        </w:tabs>
        <w:ind w:left="425" w:hanging="425"/>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7U0tDQ0NTa0NDMwsDRT0lEKTi0uzszPAykwrwUAdZgVrCwAAAA="/>
  </w:docVars>
  <w:rsids>
    <w:rsidRoot w:val="00661ADA"/>
    <w:rsid w:val="97EE804A"/>
    <w:rsid w:val="97FB0616"/>
    <w:rsid w:val="AFFCD9AF"/>
    <w:rsid w:val="B77D8E4A"/>
    <w:rsid w:val="BBFFA99D"/>
    <w:rsid w:val="BDFF58EF"/>
    <w:rsid w:val="BE5CC072"/>
    <w:rsid w:val="BF770C2E"/>
    <w:rsid w:val="C72A08B5"/>
    <w:rsid w:val="CBEF5F67"/>
    <w:rsid w:val="CEEE8010"/>
    <w:rsid w:val="CF796E65"/>
    <w:rsid w:val="D3FF2936"/>
    <w:rsid w:val="D5D4EAF2"/>
    <w:rsid w:val="D6FFC4E5"/>
    <w:rsid w:val="DA760D47"/>
    <w:rsid w:val="DCDE6613"/>
    <w:rsid w:val="DE0E9179"/>
    <w:rsid w:val="E1FF5D2A"/>
    <w:rsid w:val="EAFFBEED"/>
    <w:rsid w:val="EBE95F32"/>
    <w:rsid w:val="ECBFF14F"/>
    <w:rsid w:val="ED49C5A3"/>
    <w:rsid w:val="EEABE554"/>
    <w:rsid w:val="EEC54E2B"/>
    <w:rsid w:val="F39BC20F"/>
    <w:rsid w:val="F4FB2EAE"/>
    <w:rsid w:val="F6F6F8A7"/>
    <w:rsid w:val="F9964FA4"/>
    <w:rsid w:val="F9BF38EB"/>
    <w:rsid w:val="FB71F851"/>
    <w:rsid w:val="FB7E63EE"/>
    <w:rsid w:val="FBEB5D84"/>
    <w:rsid w:val="FBEF9DE0"/>
    <w:rsid w:val="FD7E762E"/>
    <w:rsid w:val="FDFFCF35"/>
    <w:rsid w:val="FE366A9F"/>
    <w:rsid w:val="FE775CD2"/>
    <w:rsid w:val="FF67C2CC"/>
    <w:rsid w:val="FF67F63E"/>
    <w:rsid w:val="FF7612C2"/>
    <w:rsid w:val="FF88EF25"/>
    <w:rsid w:val="FF9C365F"/>
    <w:rsid w:val="FFBE5A22"/>
    <w:rsid w:val="FFFAEDC4"/>
    <w:rsid w:val="FFFDF3B0"/>
    <w:rsid w:val="FFFE525F"/>
    <w:rsid w:val="00004BB0"/>
    <w:rsid w:val="000651ED"/>
    <w:rsid w:val="000838BF"/>
    <w:rsid w:val="0009688F"/>
    <w:rsid w:val="000974BF"/>
    <w:rsid w:val="000F70B9"/>
    <w:rsid w:val="00133939"/>
    <w:rsid w:val="00136B62"/>
    <w:rsid w:val="0015768D"/>
    <w:rsid w:val="00166990"/>
    <w:rsid w:val="0017658D"/>
    <w:rsid w:val="001D4817"/>
    <w:rsid w:val="002051D9"/>
    <w:rsid w:val="00211ED8"/>
    <w:rsid w:val="00223A1A"/>
    <w:rsid w:val="002343D7"/>
    <w:rsid w:val="00262E2F"/>
    <w:rsid w:val="00315BF3"/>
    <w:rsid w:val="0036130A"/>
    <w:rsid w:val="003733AE"/>
    <w:rsid w:val="003A2C9D"/>
    <w:rsid w:val="003B76B2"/>
    <w:rsid w:val="003E3762"/>
    <w:rsid w:val="00406D4E"/>
    <w:rsid w:val="0040750F"/>
    <w:rsid w:val="00412B95"/>
    <w:rsid w:val="00445335"/>
    <w:rsid w:val="004653CB"/>
    <w:rsid w:val="005215CE"/>
    <w:rsid w:val="00524692"/>
    <w:rsid w:val="00542985"/>
    <w:rsid w:val="005C25D4"/>
    <w:rsid w:val="005E1E8A"/>
    <w:rsid w:val="006545F4"/>
    <w:rsid w:val="00660B81"/>
    <w:rsid w:val="00661ADA"/>
    <w:rsid w:val="0066684C"/>
    <w:rsid w:val="0067571A"/>
    <w:rsid w:val="00696678"/>
    <w:rsid w:val="006A7325"/>
    <w:rsid w:val="006D5F82"/>
    <w:rsid w:val="00746B5D"/>
    <w:rsid w:val="00752B38"/>
    <w:rsid w:val="007932A1"/>
    <w:rsid w:val="00793B60"/>
    <w:rsid w:val="007B0B78"/>
    <w:rsid w:val="007B4D22"/>
    <w:rsid w:val="007E74A7"/>
    <w:rsid w:val="00847313"/>
    <w:rsid w:val="00875F2A"/>
    <w:rsid w:val="008901AA"/>
    <w:rsid w:val="008A0E84"/>
    <w:rsid w:val="008B6453"/>
    <w:rsid w:val="00905111"/>
    <w:rsid w:val="00913105"/>
    <w:rsid w:val="00932F7F"/>
    <w:rsid w:val="009450DE"/>
    <w:rsid w:val="00962018"/>
    <w:rsid w:val="00963E8C"/>
    <w:rsid w:val="009657C7"/>
    <w:rsid w:val="009D1B97"/>
    <w:rsid w:val="009E6F26"/>
    <w:rsid w:val="00A0059C"/>
    <w:rsid w:val="00A1273E"/>
    <w:rsid w:val="00A20868"/>
    <w:rsid w:val="00A463A4"/>
    <w:rsid w:val="00A47DD3"/>
    <w:rsid w:val="00A62F14"/>
    <w:rsid w:val="00A81BD2"/>
    <w:rsid w:val="00A85B1A"/>
    <w:rsid w:val="00AC2904"/>
    <w:rsid w:val="00B12FD4"/>
    <w:rsid w:val="00B204DC"/>
    <w:rsid w:val="00B32274"/>
    <w:rsid w:val="00B4195D"/>
    <w:rsid w:val="00B673F3"/>
    <w:rsid w:val="00B839CC"/>
    <w:rsid w:val="00BC450F"/>
    <w:rsid w:val="00C14421"/>
    <w:rsid w:val="00C2565C"/>
    <w:rsid w:val="00C473EC"/>
    <w:rsid w:val="00C54669"/>
    <w:rsid w:val="00CC7BD3"/>
    <w:rsid w:val="00D11A2C"/>
    <w:rsid w:val="00D14A53"/>
    <w:rsid w:val="00D30200"/>
    <w:rsid w:val="00D8758A"/>
    <w:rsid w:val="00DB6966"/>
    <w:rsid w:val="00DD4F8A"/>
    <w:rsid w:val="00EA3384"/>
    <w:rsid w:val="00EC699D"/>
    <w:rsid w:val="00ED0D20"/>
    <w:rsid w:val="00F03B54"/>
    <w:rsid w:val="00F04FB5"/>
    <w:rsid w:val="00F1742F"/>
    <w:rsid w:val="00F44021"/>
    <w:rsid w:val="00F60F3B"/>
    <w:rsid w:val="00FA1CD3"/>
    <w:rsid w:val="00FD3439"/>
    <w:rsid w:val="0EBE25DA"/>
    <w:rsid w:val="139EF132"/>
    <w:rsid w:val="269D6488"/>
    <w:rsid w:val="2FB77C01"/>
    <w:rsid w:val="30728EFF"/>
    <w:rsid w:val="33FE4518"/>
    <w:rsid w:val="36ED2DC9"/>
    <w:rsid w:val="377DF302"/>
    <w:rsid w:val="37F32B08"/>
    <w:rsid w:val="3ADB0A48"/>
    <w:rsid w:val="3BCFFA6D"/>
    <w:rsid w:val="3C7F0800"/>
    <w:rsid w:val="3DBFFFA3"/>
    <w:rsid w:val="3EE77574"/>
    <w:rsid w:val="3F797C00"/>
    <w:rsid w:val="3FF5E9B3"/>
    <w:rsid w:val="3FF5F201"/>
    <w:rsid w:val="3FFACE68"/>
    <w:rsid w:val="4B54B193"/>
    <w:rsid w:val="4FFD6DA3"/>
    <w:rsid w:val="55FC953B"/>
    <w:rsid w:val="5721E4E3"/>
    <w:rsid w:val="57DE51F3"/>
    <w:rsid w:val="595F0470"/>
    <w:rsid w:val="5BBB2492"/>
    <w:rsid w:val="5E7F7730"/>
    <w:rsid w:val="6A7B6051"/>
    <w:rsid w:val="6ADC658D"/>
    <w:rsid w:val="6B7B7BE6"/>
    <w:rsid w:val="6BDE4AE9"/>
    <w:rsid w:val="6DED7B71"/>
    <w:rsid w:val="6DFFC1A1"/>
    <w:rsid w:val="6ED783AF"/>
    <w:rsid w:val="71BED5EB"/>
    <w:rsid w:val="73F72FD5"/>
    <w:rsid w:val="76821519"/>
    <w:rsid w:val="77BF5E83"/>
    <w:rsid w:val="7BFFBC97"/>
    <w:rsid w:val="7C2EBF96"/>
    <w:rsid w:val="7D5F0BF9"/>
    <w:rsid w:val="7DAE74C9"/>
    <w:rsid w:val="7DDDB5A9"/>
    <w:rsid w:val="7DF11256"/>
    <w:rsid w:val="7DFD5FC0"/>
    <w:rsid w:val="7E7F13D6"/>
    <w:rsid w:val="7EEC4950"/>
    <w:rsid w:val="7F1D31A1"/>
    <w:rsid w:val="7F54995C"/>
    <w:rsid w:val="7FEDACDB"/>
    <w:rsid w:val="7FEF5CD2"/>
    <w:rsid w:val="7FFEB59F"/>
    <w:rsid w:val="7FFF2B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2F84A5F8"/>
  <w15:docId w15:val="{1F59D33E-77BD-4236-87B3-AEE3D2B42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lsdException w:name="Light Shading" w:uiPriority="60" w:qFormat="1"/>
    <w:lsdException w:name="Light List" w:uiPriority="61" w:qFormat="1"/>
    <w:lsdException w:name="Light Grid" w:uiPriority="62" w:qFormat="1"/>
    <w:lsdException w:name="Medium Shading 1" w:uiPriority="63" w:qFormat="1"/>
    <w:lsdException w:name="Medium Shading 2" w:uiPriority="64" w:qFormat="1"/>
    <w:lsdException w:name="Medium List 1" w:uiPriority="65" w:qFormat="1"/>
    <w:lsdException w:name="Medium List 2" w:uiPriority="66" w:qFormat="1"/>
    <w:lsdException w:name="Medium Grid 1" w:uiPriority="67" w:qFormat="1"/>
    <w:lsdException w:name="Medium Grid 2" w:uiPriority="68" w:qFormat="1"/>
    <w:lsdException w:name="Medium Grid 3" w:uiPriority="69" w:qFormat="1"/>
    <w:lsdException w:name="Dark List" w:uiPriority="70"/>
    <w:lsdException w:name="Colorful Shading" w:uiPriority="71"/>
    <w:lsdException w:name="Colorful List" w:uiPriority="72"/>
    <w:lsdException w:name="Colorful Grid" w:uiPriority="73" w:qFormat="1"/>
    <w:lsdException w:name="Light Shading Accent 1" w:uiPriority="60" w:qFormat="1"/>
    <w:lsdException w:name="Light List Accent 1" w:uiPriority="61" w:qFormat="1"/>
    <w:lsdException w:name="Light Grid Accent 1" w:uiPriority="62" w:qFormat="1"/>
    <w:lsdException w:name="Medium Shading 1 Accent 1" w:uiPriority="63" w:qFormat="1"/>
    <w:lsdException w:name="Medium Shading 2 Accent 1" w:uiPriority="64" w:qFormat="1"/>
    <w:lsdException w:name="Medium List 1 Accent 1" w:uiPriority="65" w:qFormat="1"/>
    <w:lsdException w:name="Revision" w:semiHidden="1"/>
    <w:lsdException w:name="List Paragraph" w:uiPriority="34" w:qFormat="1"/>
    <w:lsdException w:name="Medium List 2 Accent 1" w:uiPriority="66" w:qFormat="1"/>
    <w:lsdException w:name="Medium Grid 1 Accent 1" w:uiPriority="67" w:qFormat="1"/>
    <w:lsdException w:name="Medium Grid 2 Accent 1" w:uiPriority="68"/>
    <w:lsdException w:name="Medium Grid 3 Accent 1" w:uiPriority="69" w:qFormat="1"/>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qFormat="1"/>
    <w:lsdException w:name="Light List Accent 2" w:uiPriority="61" w:qFormat="1"/>
    <w:lsdException w:name="Light Grid Accent 2" w:uiPriority="62" w:qFormat="1"/>
    <w:lsdException w:name="Medium Shading 1 Accent 2" w:uiPriority="63" w:qFormat="1"/>
    <w:lsdException w:name="Medium Shading 2 Accent 2" w:uiPriority="64" w:qFormat="1"/>
    <w:lsdException w:name="Medium List 1 Accent 2" w:uiPriority="65" w:qFormat="1"/>
    <w:lsdException w:name="Medium List 2 Accent 2" w:uiPriority="66" w:qFormat="1"/>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qFormat="1"/>
    <w:lsdException w:name="Light List Accent 3" w:uiPriority="61" w:qFormat="1"/>
    <w:lsdException w:name="Light Grid Accent 3" w:uiPriority="62" w:qFormat="1"/>
    <w:lsdException w:name="Medium Shading 1 Accent 3" w:uiPriority="63" w:qFormat="1"/>
    <w:lsdException w:name="Medium Shading 2 Accent 3" w:uiPriority="64" w:qFormat="1"/>
    <w:lsdException w:name="Medium List 1 Accent 3" w:uiPriority="65" w:qFormat="1"/>
    <w:lsdException w:name="Medium List 2 Accent 3" w:uiPriority="66" w:qFormat="1"/>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qFormat="1"/>
    <w:lsdException w:name="Light List Accent 4" w:uiPriority="61" w:qFormat="1"/>
    <w:lsdException w:name="Light Grid Accent 4" w:uiPriority="62" w:qFormat="1"/>
    <w:lsdException w:name="Medium Shading 1 Accent 4" w:uiPriority="63" w:qFormat="1"/>
    <w:lsdException w:name="Medium Shading 2 Accent 4" w:uiPriority="64" w:qFormat="1"/>
    <w:lsdException w:name="Medium List 1 Accent 4" w:uiPriority="65" w:qFormat="1"/>
    <w:lsdException w:name="Medium List 2 Accent 4" w:uiPriority="66" w:qFormat="1"/>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qFormat="1"/>
    <w:lsdException w:name="Light List Accent 5" w:uiPriority="61" w:qFormat="1"/>
    <w:lsdException w:name="Light Grid Accent 5" w:uiPriority="62" w:qFormat="1"/>
    <w:lsdException w:name="Medium Shading 1 Accent 5" w:uiPriority="63" w:qFormat="1"/>
    <w:lsdException w:name="Medium Shading 2 Accent 5" w:uiPriority="64" w:qFormat="1"/>
    <w:lsdException w:name="Medium List 1 Accent 5" w:uiPriority="65" w:qFormat="1"/>
    <w:lsdException w:name="Medium List 2 Accent 5" w:uiPriority="66" w:qFormat="1"/>
    <w:lsdException w:name="Medium Grid 1 Accent 5" w:uiPriority="67" w:qFormat="1"/>
    <w:lsdException w:name="Medium Grid 2 Accent 5" w:uiPriority="68" w:qFormat="1"/>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qFormat="1"/>
    <w:lsdException w:name="Light List Accent 6" w:uiPriority="61" w:qFormat="1"/>
    <w:lsdException w:name="Light Grid Accent 6" w:uiPriority="62" w:qFormat="1"/>
    <w:lsdException w:name="Medium Shading 1 Accent 6" w:uiPriority="63" w:qFormat="1"/>
    <w:lsdException w:name="Medium Shading 2 Accent 6" w:uiPriority="64" w:qFormat="1"/>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lsdException w:name="Dark List Accent 6" w:uiPriority="70"/>
    <w:lsdException w:name="Colorful Shading Accent 6" w:uiPriority="71"/>
    <w:lsdException w:name="Colorful List Accent 6" w:uiPriority="72" w:qFormat="1"/>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Calibri" w:eastAsia="Calibri" w:hAnsi="Calibri" w:cs="DejaVu San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BodyText">
    <w:name w:val="Body Text"/>
    <w:basedOn w:val="Normal"/>
    <w:qFormat/>
    <w:pPr>
      <w:spacing w:after="240" w:line="240" w:lineRule="atLeast"/>
      <w:ind w:firstLine="360"/>
      <w:jc w:val="both"/>
    </w:pPr>
    <w:rPr>
      <w:rFonts w:ascii="Garamond" w:eastAsia="Times New Roman" w:hAnsi="Garamond" w:cs="Times New Roman"/>
      <w:szCs w:val="20"/>
    </w:rPr>
  </w:style>
  <w:style w:type="character" w:styleId="Emphasis">
    <w:name w:val="Emphasis"/>
    <w:basedOn w:val="DefaultParagraphFont"/>
    <w:qFormat/>
    <w:rPr>
      <w:i/>
      <w:iCs/>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qFormat/>
    <w:pPr>
      <w:spacing w:beforeAutospacing="1" w:afterAutospacing="1"/>
    </w:pPr>
    <w:rPr>
      <w:sz w:val="24"/>
      <w:szCs w:val="24"/>
      <w:lang w:eastAsia="zh-CN"/>
    </w:rPr>
  </w:style>
  <w:style w:type="character" w:styleId="Strong">
    <w:name w:val="Strong"/>
    <w:basedOn w:val="DefaultParagraphFont"/>
    <w:qFormat/>
    <w:rPr>
      <w:b/>
      <w:bCs/>
    </w:rPr>
  </w:style>
  <w:style w:type="table" w:styleId="TableGrid">
    <w:name w:val="Table Grid"/>
    <w:basedOn w:val="TableNormal"/>
    <w:qFormat/>
    <w:rPr>
      <w:lang w:val="id-ID"/>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styleId="ListParagraph">
    <w:name w:val="List Paragraph"/>
    <w:basedOn w:val="Normal"/>
    <w:link w:val="ListParagraphChar"/>
    <w:uiPriority w:val="34"/>
    <w:qFormat/>
    <w:pPr>
      <w:ind w:left="720"/>
      <w:contextualSpacing/>
    </w:pPr>
  </w:style>
  <w:style w:type="table" w:customStyle="1" w:styleId="TableGrid0">
    <w:name w:val="TableGrid"/>
    <w:qFormat/>
    <w:rPr>
      <w:rFonts w:eastAsia="Times New Roman"/>
    </w:rPr>
    <w:tblPr>
      <w:tblCellMar>
        <w:top w:w="0" w:type="dxa"/>
        <w:left w:w="0" w:type="dxa"/>
        <w:bottom w:w="0" w:type="dxa"/>
        <w:right w:w="0" w:type="dxa"/>
      </w:tblCellMar>
    </w:tblPr>
  </w:style>
  <w:style w:type="table" w:customStyle="1" w:styleId="TableGrid1">
    <w:name w:val="Table Grid1"/>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qFormat/>
  </w:style>
  <w:style w:type="character" w:customStyle="1" w:styleId="InternetLink">
    <w:name w:val="Internet Link"/>
    <w:basedOn w:val="DefaultParagraphFont"/>
    <w:qFormat/>
    <w:rPr>
      <w:color w:val="0563C1"/>
      <w:u w:val="single"/>
    </w:rPr>
  </w:style>
  <w:style w:type="paragraph" w:customStyle="1" w:styleId="08Kutipan">
    <w:name w:val="08. Kutipan"/>
    <w:basedOn w:val="Normal"/>
    <w:next w:val="Normal"/>
    <w:autoRedefine/>
    <w:qFormat/>
    <w:pPr>
      <w:spacing w:line="240" w:lineRule="auto"/>
      <w:ind w:right="95"/>
      <w:jc w:val="both"/>
    </w:pPr>
    <w:rPr>
      <w:rFonts w:ascii="Times New Roman" w:hAnsi="Times New Roman" w:cs="Times New Roman"/>
      <w:sz w:val="24"/>
      <w:szCs w:val="24"/>
    </w:rPr>
  </w:style>
  <w:style w:type="character" w:customStyle="1" w:styleId="apple-style-span">
    <w:name w:val="apple-style-span"/>
    <w:basedOn w:val="DefaultParagraphFont"/>
    <w:qFormat/>
  </w:style>
  <w:style w:type="character" w:customStyle="1" w:styleId="fn">
    <w:name w:val="fn"/>
    <w:basedOn w:val="DefaultParagraphFont"/>
    <w:qFormat/>
  </w:style>
  <w:style w:type="table" w:customStyle="1" w:styleId="PlainTable21">
    <w:name w:val="Plain Table 21"/>
    <w:basedOn w:val="TableNormal"/>
    <w:uiPriority w:val="42"/>
    <w:qFormat/>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ListTable6Colorful1">
    <w:name w:val="List Table 6 Colorful1"/>
    <w:basedOn w:val="TableNormal"/>
    <w:uiPriority w:val="51"/>
    <w:qFormat/>
    <w:rPr>
      <w:color w:val="000000" w:themeColor="text1"/>
    </w:rPr>
    <w:tblPr>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31">
    <w:name w:val="List Table 6 Colorful - Accent 31"/>
    <w:basedOn w:val="TableNormal"/>
    <w:uiPriority w:val="51"/>
    <w:qFormat/>
    <w:rPr>
      <w:color w:val="7B7B7B" w:themeColor="accent3" w:themeShade="BF"/>
    </w:rPr>
    <w:tblPr>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BalloonTextChar">
    <w:name w:val="Balloon Text Char"/>
    <w:basedOn w:val="DefaultParagraphFont"/>
    <w:link w:val="BalloonText"/>
    <w:uiPriority w:val="99"/>
    <w:semiHidden/>
    <w:qFormat/>
    <w:rPr>
      <w:rFonts w:ascii="Segoe UI" w:eastAsia="Calibri" w:hAnsi="Segoe UI" w:cs="Segoe UI"/>
      <w:sz w:val="18"/>
      <w:szCs w:val="18"/>
    </w:rPr>
  </w:style>
  <w:style w:type="paragraph" w:customStyle="1" w:styleId="Default">
    <w:name w:val="Default"/>
    <w:qFormat/>
    <w:pPr>
      <w:autoSpaceDE w:val="0"/>
      <w:autoSpaceDN w:val="0"/>
      <w:adjustRightInd w:val="0"/>
    </w:pPr>
    <w:rPr>
      <w:rFonts w:eastAsiaTheme="minorHAns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13" Type="http://schemas.openxmlformats.org/officeDocument/2006/relationships/hyperlink" Target="https://doi.org/10.31578/jebs.v10i1.326" TargetMode="External"/><Relationship Id="rId18" Type="http://schemas.openxmlformats.org/officeDocument/2006/relationships/hyperlink" Target="https://ijel.amikveteran.ac.id/index.php/ijel/index" TargetMode="External"/><Relationship Id="rId26" Type="http://schemas.openxmlformats.org/officeDocument/2006/relationships/hyperlink" Target="https://eprints.iain-surakarta.ac.id/3617/" TargetMode="External"/><Relationship Id="rId3" Type="http://schemas.openxmlformats.org/officeDocument/2006/relationships/numbering" Target="numbering.xml"/><Relationship Id="rId21" Type="http://schemas.openxmlformats.org/officeDocument/2006/relationships/hyperlink" Target="https://doi.org/10.24127/pj.v13i1.9218" TargetMode="External"/><Relationship Id="rId34"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chart" Target="charts/chart1.xml"/><Relationship Id="rId17" Type="http://schemas.openxmlformats.org/officeDocument/2006/relationships/hyperlink" Target="https://doi.org/10.15294/lc.v15i1.26261" TargetMode="External"/><Relationship Id="rId25" Type="http://schemas.openxmlformats.org/officeDocument/2006/relationships/hyperlink" Target="https://doi.org/10.61132/sintaksis.v2i3.729" TargetMode="External"/><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doi.org/10.36982/jge.v10i1.2166" TargetMode="External"/><Relationship Id="rId20" Type="http://schemas.openxmlformats.org/officeDocument/2006/relationships/hyperlink" Target="https://www.ef.com/epi" TargetMode="External"/><Relationship Id="rId29" Type="http://schemas.openxmlformats.org/officeDocument/2006/relationships/hyperlink" Target="https://doi.org/10.33365/ts.v19i1.486"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dio@uigm.ac.id" TargetMode="External"/><Relationship Id="rId24" Type="http://schemas.openxmlformats.org/officeDocument/2006/relationships/hyperlink" Target="https://doi.org/10.33541/jet.v9i3.526" TargetMode="External"/><Relationship Id="rId32" Type="http://schemas.openxmlformats.org/officeDocument/2006/relationships/hyperlink" Target="https://eprints.iain-surakarta.ac.id/9187/1" TargetMode="External"/><Relationship Id="rId5" Type="http://schemas.openxmlformats.org/officeDocument/2006/relationships/settings" Target="settings.xml"/><Relationship Id="rId15" Type="http://schemas.openxmlformats.org/officeDocument/2006/relationships/hyperlink" Target="https://doi.org/10.1186/s40862&#8209;022&#8209;00132&#8209;X" TargetMode="External"/><Relationship Id="rId23" Type="http://schemas.openxmlformats.org/officeDocument/2006/relationships/hyperlink" Target="https://repository.radenintan.ac.id/9202/1/A%20THESIS%202." TargetMode="External"/><Relationship Id="rId28" Type="http://schemas.openxmlformats.org/officeDocument/2006/relationships/hyperlink" Target="https://doi.org/10.3389/fpsyg.2021.739842" TargetMode="External"/><Relationship Id="rId36" Type="http://schemas.openxmlformats.org/officeDocument/2006/relationships/theme" Target="theme/theme1.xml"/><Relationship Id="rId10" Type="http://schemas.openxmlformats.org/officeDocument/2006/relationships/hyperlink" Target="mailto:ditarizki@uigm.ac.id" TargetMode="External"/><Relationship Id="rId19" Type="http://schemas.openxmlformats.org/officeDocument/2006/relationships/hyperlink" Target="https://callej.org/index.php/journal/article/view/386" TargetMode="External"/><Relationship Id="rId31" Type="http://schemas.openxmlformats.org/officeDocument/2006/relationships/hyperlink" Target="https://doi.org/10.1111/lang.12345" TargetMode="External"/><Relationship Id="rId4" Type="http://schemas.openxmlformats.org/officeDocument/2006/relationships/styles" Target="styles.xml"/><Relationship Id="rId9" Type="http://schemas.openxmlformats.org/officeDocument/2006/relationships/hyperlink" Target="mailto:2021710024@students.uigm.ac.id" TargetMode="External"/><Relationship Id="rId14" Type="http://schemas.openxmlformats.org/officeDocument/2006/relationships/hyperlink" Target="https://doi.org/10.3389/feduc.2023.1182285" TargetMode="External"/><Relationship Id="rId22" Type="http://schemas.openxmlformats.org/officeDocument/2006/relationships/hyperlink" Target="https://doi.org/10.1017/S0261444820000658" TargetMode="External"/><Relationship Id="rId27" Type="http://schemas.openxmlformats.org/officeDocument/2006/relationships/hyperlink" Target="https://doi.org/10.33899/berj.2024.184862%5d" TargetMode="External"/><Relationship Id="rId30" Type="http://schemas.openxmlformats.org/officeDocument/2006/relationships/hyperlink" Target="https://doi.org/10.59841/blaze.v1i4.560" TargetMode="External"/><Relationship Id="rId35" Type="http://schemas.openxmlformats.org/officeDocument/2006/relationships/fontTable" Target="fontTable.xml"/><Relationship Id="rId8"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endParaRPr lang="en-US"/>
          </a:p>
        </c:rich>
      </c:tx>
      <c:overlay val="0"/>
      <c:spPr>
        <a:noFill/>
        <a:ln>
          <a:noFill/>
        </a:ln>
        <a:effectLst/>
      </c:spPr>
    </c:title>
    <c:autoTitleDeleted val="0"/>
    <c:plotArea>
      <c:layout/>
      <c:pieChart>
        <c:varyColors val="1"/>
        <c:ser>
          <c:idx val="0"/>
          <c:order val="0"/>
          <c:tx>
            <c:strRef>
              <c:f>Sheet1!$B$1</c:f>
              <c:strCache>
                <c:ptCount val="1"/>
                <c:pt idx="0">
                  <c:v>Sales</c:v>
                </c:pt>
              </c:strCache>
            </c:strRef>
          </c:tx>
          <c:dPt>
            <c:idx val="0"/>
            <c:bubble3D val="0"/>
            <c:spPr>
              <a:solidFill>
                <a:schemeClr val="accent1"/>
              </a:solidFill>
              <a:ln>
                <a:solidFill>
                  <a:schemeClr val="bg1"/>
                </a:solidFill>
              </a:ln>
              <a:effectLst/>
            </c:spPr>
            <c:extLst>
              <c:ext xmlns:c16="http://schemas.microsoft.com/office/drawing/2014/chart" uri="{C3380CC4-5D6E-409C-BE32-E72D297353CC}">
                <c16:uniqueId val="{00000001-81E3-4439-BBD1-DE63B9FE2D52}"/>
              </c:ext>
            </c:extLst>
          </c:dPt>
          <c:dPt>
            <c:idx val="1"/>
            <c:bubble3D val="0"/>
            <c:spPr>
              <a:solidFill>
                <a:schemeClr val="accent2"/>
              </a:solidFill>
              <a:ln>
                <a:solidFill>
                  <a:schemeClr val="bg1"/>
                </a:solidFill>
              </a:ln>
              <a:effectLst/>
            </c:spPr>
            <c:extLst>
              <c:ext xmlns:c16="http://schemas.microsoft.com/office/drawing/2014/chart" uri="{C3380CC4-5D6E-409C-BE32-E72D297353CC}">
                <c16:uniqueId val="{00000003-81E3-4439-BBD1-DE63B9FE2D52}"/>
              </c:ext>
            </c:extLst>
          </c:dPt>
          <c:dPt>
            <c:idx val="2"/>
            <c:bubble3D val="0"/>
            <c:spPr>
              <a:solidFill>
                <a:schemeClr val="accent3"/>
              </a:solidFill>
              <a:ln>
                <a:solidFill>
                  <a:schemeClr val="bg1"/>
                </a:solidFill>
              </a:ln>
              <a:effectLst/>
            </c:spPr>
            <c:extLst>
              <c:ext xmlns:c16="http://schemas.microsoft.com/office/drawing/2014/chart" uri="{C3380CC4-5D6E-409C-BE32-E72D297353CC}">
                <c16:uniqueId val="{00000005-81E3-4439-BBD1-DE63B9FE2D52}"/>
              </c:ext>
            </c:extLst>
          </c:dPt>
          <c:dPt>
            <c:idx val="3"/>
            <c:bubble3D val="0"/>
            <c:spPr>
              <a:solidFill>
                <a:schemeClr val="accent4"/>
              </a:solidFill>
              <a:ln>
                <a:solidFill>
                  <a:schemeClr val="bg1"/>
                </a:solidFill>
              </a:ln>
              <a:effectLst/>
            </c:spPr>
            <c:extLst>
              <c:ext xmlns:c16="http://schemas.microsoft.com/office/drawing/2014/chart" uri="{C3380CC4-5D6E-409C-BE32-E72D297353CC}">
                <c16:uniqueId val="{00000007-81E3-4439-BBD1-DE63B9FE2D52}"/>
              </c:ext>
            </c:extLst>
          </c:dPt>
          <c:dLbls>
            <c:dLbl>
              <c:idx val="0"/>
              <c:tx>
                <c:rich>
                  <a:bodyPr/>
                  <a:lstStyle/>
                  <a:p>
                    <a:r>
                      <a:rPr lang="en-US"/>
                      <a:t> 56.9%</a:t>
                    </a:r>
                  </a:p>
                </c:rich>
              </c:tx>
              <c:dLblPos val="inEnd"/>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81E3-4439-BBD1-DE63B9FE2D52}"/>
                </c:ext>
              </c:extLst>
            </c:dLbl>
            <c:dLbl>
              <c:idx val="1"/>
              <c:tx>
                <c:rich>
                  <a:bodyPr/>
                  <a:lstStyle/>
                  <a:p>
                    <a:r>
                      <a:rPr lang="en-US"/>
                      <a:t> 40.7%</a:t>
                    </a:r>
                  </a:p>
                </c:rich>
              </c:tx>
              <c:dLblPos val="inEnd"/>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81E3-4439-BBD1-DE63B9FE2D52}"/>
                </c:ext>
              </c:extLst>
            </c:dLbl>
            <c:dLbl>
              <c:idx val="2"/>
              <c:tx>
                <c:rich>
                  <a:bodyPr/>
                  <a:lstStyle/>
                  <a:p>
                    <a:r>
                      <a:rPr lang="en-US"/>
                      <a:t>2.3%</a:t>
                    </a:r>
                  </a:p>
                </c:rich>
              </c:tx>
              <c:dLblPos val="inEnd"/>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81E3-4439-BBD1-DE63B9FE2D52}"/>
                </c:ext>
              </c:extLst>
            </c:dLbl>
            <c:spPr>
              <a:noFill/>
              <a:ln>
                <a:noFill/>
              </a:ln>
              <a:effectLst/>
            </c:spPr>
            <c:txPr>
              <a:bodyPr rot="0" spcFirstLastPara="0" vertOverflow="ellipsis" vert="horz" wrap="square" lIns="38100" tIns="19050" rIns="38100" bIns="19050" anchor="ctr" anchorCtr="1"/>
              <a:lstStyle/>
              <a:p>
                <a:pPr>
                  <a:defRPr lang="en-US" sz="10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1"/>
            <c:showSerName val="0"/>
            <c:showPercent val="1"/>
            <c:showBubbleSize val="0"/>
            <c:showLeaderLines val="1"/>
            <c:leaderLines>
              <c:spPr>
                <a:ln w="9525" cap="flat" cmpd="sng" algn="ctr">
                  <a:solidFill>
                    <a:schemeClr val="tx1">
                      <a:lumMod val="35000"/>
                      <a:lumOff val="65000"/>
                    </a:schemeClr>
                  </a:solidFill>
                  <a:prstDash val="solid"/>
                  <a:round/>
                </a:ln>
                <a:effectLst/>
              </c:spPr>
            </c:leaderLines>
            <c:extLst>
              <c:ext xmlns:c15="http://schemas.microsoft.com/office/drawing/2012/chart" uri="{CE6537A1-D6FC-4f65-9D91-7224C49458BB}"/>
            </c:extLst>
          </c:dLbls>
          <c:cat>
            <c:strRef>
              <c:f>Sheet1!$A$2:$A$5</c:f>
              <c:strCache>
                <c:ptCount val="4"/>
                <c:pt idx="0">
                  <c:v>Misformation</c:v>
                </c:pt>
                <c:pt idx="1">
                  <c:v>Omission</c:v>
                </c:pt>
                <c:pt idx="2">
                  <c:v>Addition</c:v>
                </c:pt>
              </c:strCache>
            </c:strRef>
          </c:cat>
          <c:val>
            <c:numRef>
              <c:f>Sheet1!$B$2:$B$5</c:f>
              <c:numCache>
                <c:formatCode>General</c:formatCode>
                <c:ptCount val="4"/>
                <c:pt idx="0">
                  <c:v>56.8</c:v>
                </c:pt>
                <c:pt idx="1">
                  <c:v>40.799999999999997</c:v>
                </c:pt>
                <c:pt idx="2">
                  <c:v>2.2999999999999998</c:v>
                </c:pt>
              </c:numCache>
            </c:numRef>
          </c:val>
          <c:extLst>
            <c:ext xmlns:c16="http://schemas.microsoft.com/office/drawing/2014/chart" uri="{C3380CC4-5D6E-409C-BE32-E72D297353CC}">
              <c16:uniqueId val="{00000008-81E3-4439-BBD1-DE63B9FE2D52}"/>
            </c:ext>
          </c:extLst>
        </c:ser>
        <c:dLbls>
          <c:showLegendKey val="0"/>
          <c:showVal val="0"/>
          <c:showCatName val="0"/>
          <c:showSerName val="0"/>
          <c:showPercent val="1"/>
          <c:showBubbleSize val="0"/>
          <c:showLeaderLines val="1"/>
        </c:dLbls>
        <c:firstSliceAng val="0"/>
      </c:pieChart>
      <c:spPr>
        <a:noFill/>
        <a:ln>
          <a:noFill/>
        </a:ln>
        <a:effectLst/>
      </c:spPr>
    </c:plotArea>
    <c:legend>
      <c:legendPos val="b"/>
      <c:legendEntry>
        <c:idx val="3"/>
        <c:delete val="1"/>
      </c:legendEntry>
      <c:overlay val="0"/>
      <c:spPr>
        <a:noFill/>
        <a:ln>
          <a:noFill/>
        </a:ln>
        <a:effectLst/>
      </c:spPr>
      <c:txPr>
        <a:bodyPr rot="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uri="{0b15fc19-7d7d-44ad-8c2d-2c3a37ce22c3}">
        <chartProps xmlns="https://web.wps.cn/et/2018/main" chartId="{76a26e5f-bd77-43a4-b984-26186c8b1e95}"/>
      </c:ext>
    </c:extLst>
  </c:chart>
  <c:spPr>
    <a:solidFill>
      <a:schemeClr val="bg1"/>
    </a:solidFill>
    <a:ln w="9525" cap="flat" cmpd="sng" algn="ctr">
      <a:solidFill>
        <a:schemeClr val="bg1"/>
      </a:solidFill>
      <a:prstDash val="solid"/>
      <a:round/>
    </a:ln>
    <a:effectLst/>
  </c:spPr>
  <c:txPr>
    <a:bodyPr/>
    <a:lstStyle/>
    <a:p>
      <a:pPr>
        <a:defRPr lang="en-US"/>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DOI: XXXXXXXXXXXXXXXXXXXXXXX</PublishDate>
  <Abstract/>
  <CompanyAddress/>
  <CompanyPhone/>
  <CompanyFax/>
  <CompanyEmail/>
</CoverPageProperties>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171</TotalTime>
  <Pages>10</Pages>
  <Words>4227</Words>
  <Characters>24095</Characters>
  <Application>Microsoft Office Word</Application>
  <DocSecurity>0</DocSecurity>
  <Lines>200</Lines>
  <Paragraphs>56</Paragraphs>
  <ScaleCrop>false</ScaleCrop>
  <Company/>
  <LinksUpToDate>false</LinksUpToDate>
  <CharactersWithSpaces>28266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www.vectorforyou.com</dc:creator>
  <cp:lastModifiedBy>Jetall</cp:lastModifiedBy>
  <cp:revision>18</cp:revision>
  <cp:lastPrinted>2019-03-06T11:24:00Z</cp:lastPrinted>
  <dcterms:created xsi:type="dcterms:W3CDTF">2019-03-15T18:35:00Z</dcterms:created>
  <dcterms:modified xsi:type="dcterms:W3CDTF">2026-01-06T03:50:00Z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1033-6.11.0.8615</vt:lpwstr>
  </property>
  <property fmtid="{D5CDD505-2E9C-101B-9397-08002B2CF9AE}" pid="3" name="ICV">
    <vt:lpwstr>6E1958641A0841C82D411069B1A12744_43</vt:lpwstr>
  </property>
</Properties>
</file>